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noviembre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05/10/2026 – cierre 09/11/2026.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Diseño metodológico y anteproyecto FINAL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correcciones de </w:t>
      </w:r>
      <w:r>
        <w:rPr>
          <w:rFonts w:ascii="Calibri" w:hAnsi="Calibri"/>
          <w:b/>
          <w:color w:val="2B2B2B"/>
          <w:sz w:val="22"/>
        </w:rPr>
        <w:t>ACA 1 y ACA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(cuerpo suficiente para 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previas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con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 propuestos (no aplicados)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Cronograma y presupuesto/viabilidad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global del anteproyecto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Escritura, fuentes, integridad y viabilidad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ACA 3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; integración/cierre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tutorías acordadas en la semana con el Docente: hay pocas sesiones sincrónicas en esta fase.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