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Pregrado · cierre a satisfacción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Checklist de cierre de curso a satisfacción</w:t>
      </w:r>
    </w:p>
    <w:p>
      <w:r>
        <w:rPr>
          <w:rFonts w:ascii="Calibri" w:hAnsi="Calibri"/>
          <w:b/>
          <w:color w:val="2B2B2B"/>
          <w:sz w:val="22"/>
        </w:rPr>
        <w:t>Ámbito:</w:t>
      </w:r>
      <w:r>
        <w:rPr>
          <w:rFonts w:ascii="Calibri" w:hAnsi="Calibri"/>
          <w:b w:val="0"/>
          <w:color w:val="2B2B2B"/>
          <w:sz w:val="22"/>
        </w:rPr>
        <w:t xml:space="preserve"> Pregrado — Creatividad · Investigación · Trabajo de Grado 2 · Trabajo de Grado 3</w:t>
      </w:r>
    </w:p>
    <w:p>
      <w:r>
        <w:rPr>
          <w:rFonts w:ascii="Calibri" w:hAnsi="Calibri"/>
          <w:b/>
          <w:color w:val="2B2B2B"/>
          <w:sz w:val="22"/>
        </w:rPr>
        <w:t>Orientado a:</w:t>
      </w:r>
      <w:r>
        <w:rPr>
          <w:rFonts w:ascii="Calibri" w:hAnsi="Calibri"/>
          <w:b w:val="0"/>
          <w:color w:val="2B2B2B"/>
          <w:sz w:val="22"/>
        </w:rPr>
        <w:t xml:space="preserve"> estudiantes y directivos / Escuela (también útil al Docente)</w:t>
      </w:r>
    </w:p>
    <w:p>
      <w:r>
        <w:rPr>
          <w:rFonts w:ascii="Calibri" w:hAnsi="Calibri"/>
          <w:b/>
          <w:color w:val="2B2B2B"/>
          <w:sz w:val="22"/>
        </w:rPr>
        <w:t>Plataforma oficial de notas y entregas:</w:t>
      </w:r>
      <w:r>
        <w:rPr>
          <w:rFonts w:ascii="Calibri" w:hAnsi="Calibri"/>
          <w:b w:val="0"/>
          <w:color w:val="2B2B2B"/>
          <w:sz w:val="22"/>
        </w:rPr>
        <w:t xml:space="preserve"> CDigital</w:t>
      </w:r>
    </w:p>
    <w:p>
      <w:r>
        <w:rPr>
          <w:rFonts w:ascii="Calibri" w:hAnsi="Calibri"/>
          <w:b/>
          <w:color w:val="2B2B2B"/>
          <w:sz w:val="22"/>
        </w:rPr>
        <w:t>Marca / institución:</w:t>
      </w:r>
      <w:r>
        <w:rPr>
          <w:rFonts w:ascii="Calibri" w:hAnsi="Calibri"/>
          <w:b w:val="0"/>
          <w:color w:val="2B2B2B"/>
          <w:sz w:val="22"/>
        </w:rPr>
        <w:t xml:space="preserve"> Corporación Unificada Nacional de Educación Superior — CUN</w:t>
      </w:r>
    </w:p>
    <w:p>
      <w:r>
        <w:rPr>
          <w:rFonts w:ascii="Calibri" w:hAnsi="Calibri"/>
          <w:b/>
          <w:color w:val="2B2B2B"/>
          <w:sz w:val="22"/>
        </w:rPr>
        <w:t>Fuentes:</w:t>
      </w:r>
      <w:r>
        <w:rPr>
          <w:rFonts w:ascii="Calibri" w:hAnsi="Calibri"/>
          <w:b w:val="0"/>
          <w:color w:val="2B2B2B"/>
          <w:sz w:val="22"/>
        </w:rPr>
        <w:t xml:space="preserve"> Syllabus SIAC de cada asignatura · Art. 52 Reglamento Estudiantil · carga académica 2026 · Manuales del Docente pregrado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Ítems </w:t>
      </w:r>
      <w:r>
        <w:rPr>
          <w:rFonts w:ascii="Calibri" w:hAnsi="Calibri"/>
          <w:b/>
          <w:i/>
          <w:color w:val="2B2B2B"/>
          <w:sz w:val="21"/>
        </w:rPr>
        <w:t>verificables</w:t>
      </w:r>
      <w:r>
        <w:rPr>
          <w:rFonts w:ascii="Calibri" w:hAnsi="Calibri"/>
          <w:b w:val="0"/>
          <w:i/>
          <w:color w:val="2B2B2B"/>
          <w:sz w:val="21"/>
        </w:rPr>
        <w:t xml:space="preserve">. En pregrado la evaluación es por </w:t>
      </w:r>
      <w:r>
        <w:rPr>
          <w:rFonts w:ascii="Calibri" w:hAnsi="Calibri"/>
          <w:b/>
          <w:i/>
          <w:color w:val="2B2B2B"/>
          <w:sz w:val="21"/>
        </w:rPr>
        <w:t>cortes</w:t>
      </w:r>
      <w:r>
        <w:rPr>
          <w:rFonts w:ascii="Calibri" w:hAnsi="Calibri"/>
          <w:b w:val="0"/>
          <w:i/>
          <w:color w:val="2B2B2B"/>
          <w:sz w:val="21"/>
        </w:rPr>
        <w:t xml:space="preserve"> (Art. 52) o corte único (TG3). </w:t>
      </w:r>
      <w:r>
        <w:rPr>
          <w:rFonts w:ascii="Calibri" w:hAnsi="Calibri"/>
          <w:b/>
          <w:i/>
          <w:color w:val="2B2B2B"/>
          <w:sz w:val="21"/>
        </w:rPr>
        <w:t>No</w:t>
      </w:r>
      <w:r>
        <w:rPr>
          <w:rFonts w:ascii="Calibri" w:hAnsi="Calibri"/>
          <w:b w:val="0"/>
          <w:i/>
          <w:color w:val="2B2B2B"/>
          <w:sz w:val="21"/>
        </w:rPr>
        <w:t xml:space="preserve"> se exige autoevaluación/coevaluación con porcentaje propio como en Proyecto I AFI (ESP329 4%+4%), salvo que el syllabus SIAC del curso lo declare explícitamente.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Alcance del cierre (estudiantes y directivos)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Asignatura, grupo(s), periodo y Docente visibles en CDigital.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Fechas de </w:t>
      </w:r>
      <w:r>
        <w:rPr>
          <w:rFonts w:ascii="Calibri" w:hAnsi="Calibri"/>
          <w:b/>
          <w:color w:val="2B2B2B"/>
          <w:sz w:val="22"/>
        </w:rPr>
        <w:t>inicio</w:t>
      </w:r>
      <w:r>
        <w:rPr>
          <w:rFonts w:ascii="Calibri" w:hAnsi="Calibri"/>
          <w:b w:val="0"/>
          <w:color w:val="2B2B2B"/>
          <w:sz w:val="22"/>
        </w:rPr>
        <w:t xml:space="preserve">, </w:t>
      </w:r>
      <w:r>
        <w:rPr>
          <w:rFonts w:ascii="Calibri" w:hAnsi="Calibri"/>
          <w:b/>
          <w:color w:val="2B2B2B"/>
          <w:sz w:val="22"/>
        </w:rPr>
        <w:t>recepción máx. de trabajos</w:t>
      </w:r>
      <w:r>
        <w:rPr>
          <w:rFonts w:ascii="Calibri" w:hAnsi="Calibri"/>
          <w:b w:val="0"/>
          <w:color w:val="2B2B2B"/>
          <w:sz w:val="22"/>
        </w:rPr>
        <w:t xml:space="preserve"> y </w:t>
      </w:r>
      <w:r>
        <w:rPr>
          <w:rFonts w:ascii="Calibri" w:hAnsi="Calibri"/>
          <w:b/>
          <w:color w:val="2B2B2B"/>
          <w:sz w:val="22"/>
        </w:rPr>
        <w:t>cierre de notas</w:t>
      </w:r>
      <w:r>
        <w:rPr>
          <w:rFonts w:ascii="Calibri" w:hAnsi="Calibri"/>
          <w:b w:val="0"/>
          <w:color w:val="2B2B2B"/>
          <w:sz w:val="22"/>
        </w:rPr>
        <w:t xml:space="preserve"> de la oferta conocidas por estudiantes y Escuela.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Régimen de evaluación comunicado: cortes Art. 52 (o corte único TG3) — sin inventar % fuera del syllabus.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Evaluación por cortes / ACAs (según cada curso)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Creatividad (EI004) e Investigación (EI005)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Actividades de </w:t>
      </w:r>
      <w:r>
        <w:rPr>
          <w:rFonts w:ascii="Calibri" w:hAnsi="Calibri"/>
          <w:b/>
          <w:color w:val="2B2B2B"/>
          <w:sz w:val="22"/>
        </w:rPr>
        <w:t>Corte 1 (30%)</w:t>
      </w:r>
      <w:r>
        <w:rPr>
          <w:rFonts w:ascii="Calibri" w:hAnsi="Calibri"/>
          <w:b w:val="0"/>
          <w:color w:val="2B2B2B"/>
          <w:sz w:val="22"/>
        </w:rPr>
        <w:t xml:space="preserve">, </w:t>
      </w:r>
      <w:r>
        <w:rPr>
          <w:rFonts w:ascii="Calibri" w:hAnsi="Calibri"/>
          <w:b/>
          <w:color w:val="2B2B2B"/>
          <w:sz w:val="22"/>
        </w:rPr>
        <w:t>Corte 2 (30%)</w:t>
      </w:r>
      <w:r>
        <w:rPr>
          <w:rFonts w:ascii="Calibri" w:hAnsi="Calibri"/>
          <w:b w:val="0"/>
          <w:color w:val="2B2B2B"/>
          <w:sz w:val="22"/>
        </w:rPr>
        <w:t xml:space="preserve"> y </w:t>
      </w:r>
      <w:r>
        <w:rPr>
          <w:rFonts w:ascii="Calibri" w:hAnsi="Calibri"/>
          <w:b/>
          <w:color w:val="2B2B2B"/>
          <w:sz w:val="22"/>
        </w:rPr>
        <w:t>Corte 3 (40%)</w:t>
      </w:r>
      <w:r>
        <w:rPr>
          <w:rFonts w:ascii="Calibri" w:hAnsi="Calibri"/>
          <w:b w:val="0"/>
          <w:color w:val="2B2B2B"/>
          <w:sz w:val="22"/>
        </w:rPr>
        <w:t xml:space="preserve"> publicadas, entregadas y calificadas en CDigital.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Desglose EV del syllabus confirmado en el aula (si la tabla SIAC está incompleta, quedó aviso en CDigital).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Enunciados en </w:t>
      </w:r>
      <w:r>
        <w:rPr>
          <w:rFonts w:ascii="Consolas" w:hAnsi="Consolas"/>
          <w:color w:val="111111"/>
          <w:sz w:val="21"/>
        </w:rPr>
        <w:t>Clases/Recursos/ACAs/</w:t>
      </w:r>
      <w:r>
        <w:rPr>
          <w:rFonts w:ascii="Calibri" w:hAnsi="Calibri"/>
          <w:b w:val="0"/>
          <w:color w:val="2B2B2B"/>
          <w:sz w:val="22"/>
        </w:rPr>
        <w:t xml:space="preserve"> alineados a los cortes.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Trabajo de Grado 2 (94453)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Avances / ACAs del periodo entregados y calificados según pesos </w:t>
      </w:r>
      <w:r>
        <w:rPr>
          <w:rFonts w:ascii="Calibri" w:hAnsi="Calibri"/>
          <w:b/>
          <w:color w:val="2B2B2B"/>
          <w:sz w:val="22"/>
        </w:rPr>
        <w:t>confirmados</w:t>
      </w:r>
      <w:r>
        <w:rPr>
          <w:rFonts w:ascii="Calibri" w:hAnsi="Calibri"/>
          <w:b w:val="0"/>
          <w:color w:val="2B2B2B"/>
          <w:sz w:val="22"/>
        </w:rPr>
        <w:t xml:space="preserve"> en Syllabus/CDigital (orientativo 30/30/40 hasta cargar SIAC).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Documento de avance listo para continuidad en TG3.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Trabajo de Grado 3 (94532)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</w:t>
      </w:r>
      <w:r>
        <w:rPr>
          <w:rFonts w:ascii="Calibri" w:hAnsi="Calibri"/>
          <w:b/>
          <w:color w:val="2B2B2B"/>
          <w:sz w:val="22"/>
        </w:rPr>
        <w:t>EV05 (50%)</w:t>
      </w:r>
      <w:r>
        <w:rPr>
          <w:rFonts w:ascii="Calibri" w:hAnsi="Calibri"/>
          <w:b w:val="0"/>
          <w:color w:val="2B2B2B"/>
          <w:sz w:val="22"/>
        </w:rPr>
        <w:t xml:space="preserve"> — proceso / artículo — entregado y calificado.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</w:t>
      </w:r>
      <w:r>
        <w:rPr>
          <w:rFonts w:ascii="Calibri" w:hAnsi="Calibri"/>
          <w:b/>
          <w:color w:val="2B2B2B"/>
          <w:sz w:val="22"/>
        </w:rPr>
        <w:t>EXAM (50%)</w:t>
      </w:r>
      <w:r>
        <w:rPr>
          <w:rFonts w:ascii="Calibri" w:hAnsi="Calibri"/>
          <w:b w:val="0"/>
          <w:color w:val="2B2B2B"/>
          <w:sz w:val="22"/>
        </w:rPr>
        <w:t xml:space="preserve"> — sustentación ante pares/jurados — realizada y calificada.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Cierre del grupo respetado (p. ej. 54450 anticipado vs 54466/54467).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Autoevaluación / coevaluación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</w:t>
      </w:r>
      <w:r>
        <w:rPr>
          <w:rFonts w:ascii="Calibri" w:hAnsi="Calibri"/>
          <w:b/>
          <w:color w:val="2B2B2B"/>
          <w:sz w:val="22"/>
        </w:rPr>
        <w:t>No aplica</w:t>
      </w:r>
      <w:r>
        <w:rPr>
          <w:rFonts w:ascii="Calibri" w:hAnsi="Calibri"/>
          <w:b w:val="0"/>
          <w:color w:val="2B2B2B"/>
          <w:sz w:val="22"/>
        </w:rPr>
        <w:t xml:space="preserve"> auto/coevaluación con peso propio tipo AFI Proyecto I, según syllabus SIAC revisados.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Coordinación publica un instrumento formativo </w:t>
      </w:r>
      <w:r>
        <w:rPr>
          <w:rFonts w:ascii="Calibri" w:hAnsi="Calibri"/>
          <w:b/>
          <w:color w:val="2B2B2B"/>
          <w:sz w:val="22"/>
        </w:rPr>
        <w:t>sin</w:t>
      </w:r>
      <w:r>
        <w:rPr>
          <w:rFonts w:ascii="Calibri" w:hAnsi="Calibri"/>
          <w:b w:val="0"/>
          <w:color w:val="2B2B2B"/>
          <w:sz w:val="22"/>
        </w:rPr>
        <w:t xml:space="preserve"> peso en la nota, quedó anunciado en CDigital (opcional; no inventar %).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Clases, festivos y evidencias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Encuentros semanales cumplidos (60 min); festivo en día de clase = </w:t>
      </w:r>
      <w:r>
        <w:rPr>
          <w:rFonts w:ascii="Calibri" w:hAnsi="Calibri"/>
          <w:b/>
          <w:color w:val="2B2B2B"/>
          <w:sz w:val="22"/>
        </w:rPr>
        <w:t>clase autónoma</w:t>
      </w:r>
      <w:r>
        <w:rPr>
          <w:rFonts w:ascii="Calibri" w:hAnsi="Calibri"/>
          <w:b w:val="0"/>
          <w:color w:val="2B2B2B"/>
          <w:sz w:val="22"/>
        </w:rPr>
        <w:t xml:space="preserve"> en CDigital (no cancelación).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Entregas y retroalimentación verificables en CDigital (Drive/correo no sustituyen).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Plantilla APA CUN usada cuando el producto lo exige (TG / investigación).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CDigital y cierre administrativo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Calificaciones de todos los cortes / componentes listas en la </w:t>
      </w:r>
      <w:r>
        <w:rPr>
          <w:rFonts w:ascii="Calibri" w:hAnsi="Calibri"/>
          <w:b/>
          <w:color w:val="2B2B2B"/>
          <w:sz w:val="22"/>
        </w:rPr>
        <w:t>fecha de cierre</w:t>
      </w:r>
      <w:r>
        <w:rPr>
          <w:rFonts w:ascii="Calibri" w:hAnsi="Calibri"/>
          <w:b w:val="0"/>
          <w:color w:val="2B2B2B"/>
          <w:sz w:val="22"/>
        </w:rPr>
        <w:t xml:space="preserve"> del grupo (carga académica 2026).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Respetada la </w:t>
      </w:r>
      <w:r>
        <w:rPr>
          <w:rFonts w:ascii="Calibri" w:hAnsi="Calibri"/>
          <w:b/>
          <w:color w:val="2B2B2B"/>
          <w:sz w:val="22"/>
        </w:rPr>
        <w:t>fecha de recepción</w:t>
      </w:r>
      <w:r>
        <w:rPr>
          <w:rFonts w:ascii="Calibri" w:hAnsi="Calibri"/>
          <w:b w:val="0"/>
          <w:color w:val="2B2B2B"/>
          <w:sz w:val="22"/>
        </w:rPr>
        <w:t xml:space="preserve"> (máx. trabajos) antes del cierre.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Evidencias del aula respaldadas según indiquen Escuela/Coordinación.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Procedimiento de cierre de notas en el sistema que indique la Escuela (confirmar con Coordinación si el canal no es solo CDigital).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Informe / formato de cierre de pregrado diligenciado </w:t>
      </w:r>
      <w:r>
        <w:rPr>
          <w:rFonts w:ascii="Calibri" w:hAnsi="Calibri"/>
          <w:b/>
          <w:color w:val="2B2B2B"/>
          <w:sz w:val="22"/>
        </w:rPr>
        <w:t>si</w:t>
      </w:r>
      <w:r>
        <w:rPr>
          <w:rFonts w:ascii="Calibri" w:hAnsi="Calibri"/>
          <w:b w:val="0"/>
          <w:color w:val="2B2B2B"/>
          <w:sz w:val="22"/>
        </w:rPr>
        <w:t xml:space="preserve"> la Escuela lo exige en el periodo.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Comunicación a estudiantes y satisfacción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Estudiantes saben dónde ver notas definitivas en CDigital.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Canal de contacto del Docente publicado (correo institucional).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Encuesta / instrumento de satisfacción institucional (si aplica al periodo) recordado o diligenciado.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Ventana de revisión de notas comunicada según normativa vigente.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Verificación rápida para directivos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Curso</w:t>
            </w:r>
          </w:p>
        </w:tc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Régimen verificable</w:t>
            </w:r>
          </w:p>
        </w:tc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 tipico 2026 (carga)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Investigación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Art. 52 · 30/30/40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20/09/2026</w:t>
            </w:r>
          </w:p>
        </w:tc>
      </w:tr>
      <w:tr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Creatividad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Art. 52 · 30/30/40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27/09/2026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TG3 54450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Corte único · EV05 50% + EXAM 50%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15/11/2026</w:t>
            </w:r>
          </w:p>
        </w:tc>
      </w:tr>
      <w:tr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TG3 54466/54467 · TG2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Según syllabus / Art. 52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22/11/2026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Verificable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Evidencia esperada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Cortes / EV publicados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Actividades y gradebook en CDigital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Sin auto/coeval con % propio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Syllabus SIAC sin esos componentes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Festivos = autónomas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Calendar + actividad en CDigital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Notas al cierre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Gradebook completo en fecha de oferta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Fuentes citadas (rutas / URLs)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Syllabus SIAC en cada carpeta de asignatura bajo </w:t>
      </w:r>
      <w:r>
        <w:rPr>
          <w:rFonts w:ascii="Consolas" w:hAnsi="Consolas"/>
          <w:color w:val="111111"/>
          <w:sz w:val="21"/>
        </w:rPr>
        <w:t>Pregrado/</w:t>
      </w:r>
    </w:p>
    <w:p>
      <w:pPr>
        <w:pStyle w:val="ListBullet"/>
      </w:pPr>
      <w:r>
        <w:rPr>
          <w:rFonts w:ascii="Consolas" w:hAnsi="Consolas"/>
          <w:color w:val="111111"/>
          <w:sz w:val="21"/>
        </w:rPr>
        <w:t>Pregrado/0. General/LEEME - Inicio desarrollo y cierre de cursos.md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Manuales del Docente de Creatividad, Investigación, TG2 y TG3</w:t>
      </w:r>
    </w:p>
    <w:p>
      <w:pPr>
        <w:pStyle w:val="ListBullet"/>
      </w:pPr>
      <w:r>
        <w:rPr>
          <w:rFonts w:ascii="Consolas" w:hAnsi="Consolas"/>
          <w:color w:val="111111"/>
          <w:sz w:val="21"/>
        </w:rPr>
        <w:t>config/universidades/cun.json</w:t>
      </w:r>
      <w:r>
        <w:rPr>
          <w:rFonts w:ascii="Calibri" w:hAnsi="Calibri"/>
          <w:b w:val="0"/>
          <w:color w:val="2B2B2B"/>
          <w:sz w:val="22"/>
        </w:rPr>
        <w:t xml:space="preserve"> → </w:t>
      </w:r>
      <w:r>
        <w:rPr>
          <w:rFonts w:ascii="Consolas" w:hAnsi="Consolas"/>
          <w:color w:val="111111"/>
          <w:sz w:val="21"/>
        </w:rPr>
        <w:t>evaluacion.regimen_cortes_reglamento_52</w:t>
      </w:r>
    </w:p>
    <w:p>
      <w:pPr>
        <w:pStyle w:val="ListBullet"/>
      </w:pPr>
      <w:r>
        <w:rPr>
          <w:rFonts w:ascii="Consolas" w:hAnsi="Consolas"/>
          <w:color w:val="111111"/>
          <w:sz w:val="21"/>
        </w:rPr>
        <w:t>config/cursos/carga_academica_2026.json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Normatividad CUN: https://cun.edu.co/somos-la-cun/normatividad/ (Reglamento Estudiantil)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SIAC institucional (no es nota de curso): https://acreditacion.cun.edu.co/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Checklist de cierre · estudiantes y directivos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