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carpeta). Evaluación orientativa Art. 52: 30/30/40 — CONFIRMAR en CDigital. Producto: avance consolidado del proyecto/artículo hacia TG3.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05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14/09/2026 – cierre 05/10/2026.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Marco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(orientativo)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Consolidar antecedentes y marcos (teórico, conceptual, contextual) del avance de grado.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Incorpora retroalimentación del Corte 1.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Amplía </w:t>
      </w:r>
      <w:r>
        <w:rPr>
          <w:rFonts w:ascii="Calibri" w:hAnsi="Calibri"/>
          <w:b/>
          <w:color w:val="2B2B2B"/>
          <w:sz w:val="22"/>
        </w:rPr>
        <w:t>antecedentes / referentes</w:t>
      </w:r>
      <w:r>
        <w:rPr>
          <w:rFonts w:ascii="Calibri" w:hAnsi="Calibri"/>
          <w:b w:val="0"/>
          <w:color w:val="2B2B2B"/>
          <w:sz w:val="22"/>
        </w:rPr>
        <w:t xml:space="preserve"> (Fase I) con bases CUN + Scholar.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Avanza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>, conceptual y contextual.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referencias APA 7.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acumulativo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10–18 páginas</w:t>
      </w:r>
      <w:r>
        <w:rPr>
          <w:rFonts w:ascii="Calibri" w:hAnsi="Calibri"/>
          <w:b w:val="0"/>
          <w:color w:val="2B2B2B"/>
          <w:sz w:val="22"/>
        </w:rPr>
        <w:t xml:space="preserve"> acumuladas.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TG2_ACA2_Apellido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previas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Antecedentes pertinentes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Marcos alineados a la pregunta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 APA 7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global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CUN / Scholar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05–07</w:t>
      </w:r>
      <w:r>
        <w:rPr>
          <w:rFonts w:ascii="Calibri" w:hAnsi="Calibri"/>
          <w:b w:val="0"/>
          <w:color w:val="2B2B2B"/>
          <w:sz w:val="22"/>
        </w:rPr>
        <w:t xml:space="preserve"> (antecedentes · marco teórico · conceptual/contextual).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