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· Corte único 100%: EV05 50% (proceso académico) + EXAM 50% (sustentación ante pares/jurados). Artículo ≥ 50 referencias; extensión no inferior a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Fechas de entrega (CDigital) según grupo: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54450: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03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29/09/2026 – 03/11/2026)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29/09/2026 – 10/11/2026)</w:t>
      </w:r>
    </w:p>
    <w:p>
      <w:r>
        <w:rPr>
          <w:rFonts w:ascii="Calibri" w:hAnsi="Calibri"/>
          <w:b/>
          <w:color w:val="2B2B2B"/>
          <w:sz w:val="22"/>
        </w:rPr>
        <w:t>Día de clase:</w:t>
      </w:r>
      <w:r>
        <w:rPr>
          <w:rFonts w:ascii="Calibri" w:hAnsi="Calibri"/>
          <w:b w:val="0"/>
          <w:color w:val="2B2B2B"/>
          <w:sz w:val="22"/>
        </w:rPr>
        <w:t xml:space="preserve"> mar. &gt; Regla: pesos + día de clase sobre [inicio–recepción] por oferta.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EXAM · Sustentación ante jurados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50%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Sustentar oralmente el trabajo de grado ante pares/jurados asignados por la Dirección del Programa (Syllabus U13) y completar entregables de repositorio (U14).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Confirma fecha, modalidad y requisitos de sustentación con el Docente / programa.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exposición (póster + síntesis del artículo: problema, método, hallazgos, aporte).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Ensaya tiempos y respuestas a preguntas de jurados.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la </w:t>
      </w:r>
      <w:r>
        <w:rPr>
          <w:rFonts w:ascii="Calibri" w:hAnsi="Calibri"/>
          <w:b/>
          <w:color w:val="2B2B2B"/>
          <w:sz w:val="22"/>
        </w:rPr>
        <w:t>sustentación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Carga los </w:t>
      </w:r>
      <w:r>
        <w:rPr>
          <w:rFonts w:ascii="Calibri" w:hAnsi="Calibri"/>
          <w:b/>
          <w:color w:val="2B2B2B"/>
          <w:sz w:val="22"/>
        </w:rPr>
        <w:t>entregables al repositorio institucional</w:t>
      </w:r>
      <w:r>
        <w:rPr>
          <w:rFonts w:ascii="Calibri" w:hAnsi="Calibri"/>
          <w:b w:val="0"/>
          <w:color w:val="2B2B2B"/>
          <w:sz w:val="22"/>
        </w:rPr>
        <w:t xml:space="preserve"> según checklist oficial (U14).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Sustentación oral (evidencia según protocolo del programa).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Paquete final para repositorio (artículo + anexos que exija la institución).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 de apoyo sugerido: </w:t>
      </w:r>
      <w:r>
        <w:rPr>
          <w:rFonts w:ascii="Consolas" w:hAnsi="Consolas"/>
          <w:color w:val="111111"/>
          <w:sz w:val="21"/>
        </w:rPr>
        <w:t>TG3_EXAM_Sustentacion_Apellido</w:t>
      </w:r>
      <w:r>
        <w:rPr>
          <w:rFonts w:ascii="Calibri" w:hAnsi="Calibri"/>
          <w:b w:val="0"/>
          <w:color w:val="2B2B2B"/>
          <w:sz w:val="22"/>
        </w:rPr>
        <w:t xml:space="preserve"> (slides/póster).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Dominio del contenido del artículo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Claridad y argumentación en la defensa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Respuesta a jurados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Material visual (póster) adecuado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Entregables de repositorio completos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Slides / Canva free (póster)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/ repositorio institucional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 = sustentación · </w:t>
      </w:r>
      <w:r>
        <w:rPr>
          <w:rFonts w:ascii="Calibri" w:hAnsi="Calibri"/>
          <w:b/>
          <w:color w:val="2B2B2B"/>
          <w:sz w:val="22"/>
        </w:rPr>
        <w:t>Sesión 14</w:t>
      </w:r>
      <w:r>
        <w:rPr>
          <w:rFonts w:ascii="Calibri" w:hAnsi="Calibri"/>
          <w:b w:val="0"/>
          <w:color w:val="2B2B2B"/>
          <w:sz w:val="22"/>
        </w:rPr>
        <w:t xml:space="preserve"> = repositorio · buffers posteriores solo si el calendario del grupo lo contempla.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