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30 de agosto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03/08/2026 – cierre 30/08/2026.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Formulación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Delimitar una situación problemática pertinente al campo de la especialización y convertirla en un avance coherente del anteproyecto: problema, pregunta, objetivos, justificación, alcances y limitaciones (unidades ESP329 U1–U3).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Incluye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(mínimo las usadas en este avance).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coherencia: contexto ↔ problema ↔ pregunta ↔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abierto preferente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de cuerpo (sin contar portada/referencias), suficiente para U2–U3.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entre problema,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Pertinencia del problema al campo / líneas del programa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Justificación argumentada (no solo opinión)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Alcances y limitaciones realistas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 académica e integridad (citas, sin 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Referencias APA 7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tras </w:t>
      </w:r>
      <w:r>
        <w:rPr>
          <w:rFonts w:ascii="Calibri" w:hAnsi="Calibri"/>
          <w:b/>
          <w:color w:val="2B2B2B"/>
          <w:sz w:val="22"/>
        </w:rPr>
        <w:t>Sesiones 01–03</w:t>
      </w:r>
      <w:r>
        <w:rPr>
          <w:rFonts w:ascii="Calibri" w:hAnsi="Calibri"/>
          <w:b w:val="0"/>
          <w:color w:val="2B2B2B"/>
          <w:sz w:val="22"/>
        </w:rPr>
        <w:t xml:space="preserve"> (fundamentos → problema/pregunta → objetivos/justificación/alcances). Cierre de avance ACA 1 según ventana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