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Enunciado ACA · CREATIVIDAD Y PENSAMIENTO INNOVADOR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Enunciado para estudiantes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CREATIVIDAD Y PENSAMIENTO INNOVADOR — Escuela de Ingenierías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EI004</w:t>
      </w:r>
    </w:p>
    <w:p>
      <w:r>
        <w:rPr>
          <w:rFonts w:ascii="Calibri" w:hAnsi="Calibri"/>
          <w:b/>
          <w:color w:val="2B2B2B"/>
          <w:sz w:val="22"/>
        </w:rPr>
        <w:t>Entrega oficial:</w:t>
      </w:r>
      <w:r>
        <w:rPr>
          <w:rFonts w:ascii="Calibri" w:hAnsi="Calibri"/>
          <w:b w:val="0"/>
          <w:color w:val="2B2B2B"/>
          <w:sz w:val="22"/>
        </w:rPr>
        <w:t xml:space="preserve"> solo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([URL CDigital — campus del curso pendiente])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EI004_VIR · Art. 52: Corte 1 = 30% · Corte 2 = 30% · Corte 3 = 40%. Producto conductor: Propuesta de Innovación (desde semana 1). Mecanismos: talleres, parciales, simulaciones, etc. con rúbrica. Desglose EV exacto: confirmar en CDigital.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Lee este enunciado completo antes de empezar. Si hay duda de peso, rúbrica o ventana de entrega, confirma con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y lo publicado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Fecha de entrega</w:t>
      </w:r>
    </w:p>
    <w:p>
      <w:r>
        <w:rPr>
          <w:rFonts w:ascii="Calibri" w:hAnsi="Calibri"/>
          <w:b/>
          <w:color w:val="2B2B2B"/>
          <w:sz w:val="22"/>
        </w:rPr>
        <w:t>Fecha de entrega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02 de septiembre de 2026</w:t>
      </w:r>
      <w:r>
        <w:rPr>
          <w:rFonts w:ascii="Calibri" w:hAnsi="Calibri"/>
          <w:b w:val="0"/>
          <w:color w:val="2B2B2B"/>
          <w:sz w:val="22"/>
        </w:rPr>
        <w:t xml:space="preserve"> (mié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26/08/2026 – cierre 02/09/2026.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 calculada con la regla del periodo (pesos + día de clase; ver Presentación del Curso / Manual).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Título / código</w:t>
      </w:r>
    </w:p>
    <w:p>
      <w:r>
        <w:rPr>
          <w:rFonts w:ascii="Calibri" w:hAnsi="Calibri"/>
          <w:b/>
          <w:color w:val="2B2B2B"/>
          <w:sz w:val="22"/>
        </w:rPr>
        <w:t>ACA 2 — Corte 2 · Tipología, gestión y validación de la propuesta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30%</w:t>
      </w:r>
      <w:r>
        <w:rPr>
          <w:rFonts w:ascii="Calibri" w:hAnsi="Calibri"/>
          <w:b w:val="0"/>
          <w:color w:val="2B2B2B"/>
          <w:sz w:val="22"/>
        </w:rPr>
        <w:t xml:space="preserve"> del curso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Propósito / competencia que evalúa</w:t>
      </w:r>
    </w:p>
    <w:p>
      <w:r>
        <w:rPr>
          <w:rFonts w:ascii="Calibri" w:hAnsi="Calibri"/>
          <w:b w:val="0"/>
          <w:color w:val="2B2B2B"/>
          <w:sz w:val="22"/>
        </w:rPr>
        <w:t xml:space="preserve">Clasificar y gestionar la innovación (Manual de Oslo/OCDE), tipificar la propuesta y </w:t>
      </w:r>
      <w:r>
        <w:rPr>
          <w:rFonts w:ascii="Calibri" w:hAnsi="Calibri"/>
          <w:b/>
          <w:color w:val="2B2B2B"/>
          <w:sz w:val="22"/>
        </w:rPr>
        <w:t>validarla</w:t>
      </w:r>
      <w:r>
        <w:rPr>
          <w:rFonts w:ascii="Calibri" w:hAnsi="Calibri"/>
          <w:b w:val="0"/>
          <w:color w:val="2B2B2B"/>
          <w:sz w:val="22"/>
        </w:rPr>
        <w:t xml:space="preserve"> con herramientas de análisis de negocios (Syllabus U4–U6).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Consigna (paso a paso)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Actualiza tu propuesta con tipo(s) de innovación (producto, proceso, organización, marketing, social).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Elabora un </w:t>
      </w:r>
      <w:r>
        <w:rPr>
          <w:rFonts w:ascii="Calibri" w:hAnsi="Calibri"/>
          <w:b/>
          <w:color w:val="2B2B2B"/>
          <w:sz w:val="22"/>
        </w:rPr>
        <w:t>cuadro comparativo</w:t>
      </w:r>
      <w:r>
        <w:rPr>
          <w:rFonts w:ascii="Calibri" w:hAnsi="Calibri"/>
          <w:b w:val="0"/>
          <w:color w:val="2B2B2B"/>
          <w:sz w:val="22"/>
        </w:rPr>
        <w:t xml:space="preserve"> de tipos y justifica el tuyo.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Aplica al menos: </w:t>
      </w:r>
      <w:r>
        <w:rPr>
          <w:rFonts w:ascii="Calibri" w:hAnsi="Calibri"/>
          <w:b/>
          <w:color w:val="2B2B2B"/>
          <w:sz w:val="22"/>
        </w:rPr>
        <w:t>FODA</w:t>
      </w:r>
      <w:r>
        <w:rPr>
          <w:rFonts w:ascii="Calibri" w:hAnsi="Calibri"/>
          <w:b w:val="0"/>
          <w:color w:val="2B2B2B"/>
          <w:sz w:val="22"/>
        </w:rPr>
        <w:t xml:space="preserve"> + </w:t>
      </w:r>
      <w:r>
        <w:rPr>
          <w:rFonts w:ascii="Calibri" w:hAnsi="Calibri"/>
          <w:b/>
          <w:color w:val="2B2B2B"/>
          <w:sz w:val="22"/>
        </w:rPr>
        <w:t>Canvas (BMC)</w:t>
      </w:r>
      <w:r>
        <w:rPr>
          <w:rFonts w:ascii="Calibri" w:hAnsi="Calibri"/>
          <w:b w:val="0"/>
          <w:color w:val="2B2B2B"/>
          <w:sz w:val="22"/>
        </w:rPr>
        <w:t xml:space="preserve"> + definición de </w:t>
      </w:r>
      <w:r>
        <w:rPr>
          <w:rFonts w:ascii="Calibri" w:hAnsi="Calibri"/>
          <w:b/>
          <w:color w:val="2B2B2B"/>
          <w:sz w:val="22"/>
        </w:rPr>
        <w:t>MVP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Prepara una </w:t>
      </w:r>
      <w:r>
        <w:rPr>
          <w:rFonts w:ascii="Calibri" w:hAnsi="Calibri"/>
          <w:b/>
          <w:color w:val="2B2B2B"/>
          <w:sz w:val="22"/>
        </w:rPr>
        <w:t>sustentación breve</w:t>
      </w:r>
      <w:r>
        <w:rPr>
          <w:rFonts w:ascii="Calibri" w:hAnsi="Calibri"/>
          <w:b w:val="0"/>
          <w:color w:val="2B2B2B"/>
          <w:sz w:val="22"/>
        </w:rPr>
        <w:t xml:space="preserve"> (oral o video corto / slides 1 página) de la validación.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Entrega el paquete del corte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Producto entregable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Documento/slides: propuesta actualizada + FODA + Canvas + MVP (orientativo 6–10 páginas o equivalente visual + 1 pág. pitch).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Herramientas sugeridas: Canvanizer / Excalidraw / Google Docs o Slides.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Archivo: </w:t>
      </w:r>
      <w:r>
        <w:rPr>
          <w:rFonts w:ascii="Consolas" w:hAnsi="Consolas"/>
          <w:color w:val="111111"/>
          <w:sz w:val="21"/>
        </w:rPr>
        <w:t>CRE_ACA2_Apellido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Criterios / checklist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Tipo de innovación bien justificado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FODA y Canvas coherentes con el problema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MVP claro y verificable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Sustentación comprensible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Mejora respecto al Corte 1  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Herramientas (solo gratis + nube)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Docs / Word Online (abre la plantilla APA ahí; no se exige Office de escritorio)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Scholar, SciELO, Redalyc, biblioteca virtual CUN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 (https://zbib.org/) o citas nativas de Google Docs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CDigital (entrega y retroalimentación)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Canvanizer (BMC)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Excalidraw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Docs / Slides</w:t>
      </w:r>
    </w:p>
    <w:p>
      <w:r>
        <w:rPr>
          <w:rFonts w:ascii="Calibri" w:hAnsi="Calibri"/>
          <w:b/>
          <w:color w:val="2B2B2B"/>
          <w:sz w:val="22"/>
        </w:rPr>
        <w:t>No se exige</w:t>
      </w:r>
      <w:r>
        <w:rPr>
          <w:rFonts w:ascii="Calibri" w:hAnsi="Calibri"/>
          <w:b w:val="0"/>
          <w:color w:val="2B2B2B"/>
          <w:sz w:val="22"/>
        </w:rPr>
        <w:t xml:space="preserve"> software de escritorio de pago ni instalaciones locales pesadas.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Tras </w:t>
      </w:r>
      <w:r>
        <w:rPr>
          <w:rFonts w:ascii="Calibri" w:hAnsi="Calibri"/>
          <w:b/>
          <w:color w:val="2B2B2B"/>
          <w:sz w:val="22"/>
        </w:rPr>
        <w:t>Sesiones 04–06</w:t>
      </w:r>
      <w:r>
        <w:rPr>
          <w:rFonts w:ascii="Calibri" w:hAnsi="Calibri"/>
          <w:b w:val="0"/>
          <w:color w:val="2B2B2B"/>
          <w:sz w:val="22"/>
        </w:rPr>
        <w:t xml:space="preserve"> (Oslo · tipos · análisis de negocios / validación).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enunciado: cálculo regenerable (</w:t>
      </w:r>
      <w:r>
        <w:rPr>
          <w:rFonts w:ascii="Consolas" w:hAnsi="Consolas"/>
          <w:i/>
          <w:color w:val="111111"/>
          <w:sz w:val="20"/>
        </w:rPr>
        <w:t>config/cursos/fechas_entrega_aca.py</w:t>
      </w:r>
      <w:r>
        <w:rPr>
          <w:rFonts w:ascii="Calibri" w:hAnsi="Calibri"/>
          <w:b w:val="0"/>
          <w:i/>
          <w:color w:val="2B2B2B"/>
          <w:sz w:val="21"/>
        </w:rPr>
        <w:t>) · Periodo [inicio–recepción] repartido por pesos del componente; entrega = día de clase semanal en o antes del fin de tramo (ultimo item &lt;= recepcion). P1: coev/autoev tras ACA 3 hasta cierre. Fuente: config/cursos/fechas_entrega_aca.py + carga_academica_2026.json.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CREATIVIDAD Y PENSAMIENTO INNOVADOR · Enunciado ACA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