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ACA · INVESTIGACIÓN, CIENCIA Y TECNOLOGÍA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INVESTIGACIÓN, CIENCIA Y TECNOLOGÍA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EI005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([URL CDigital — campus del curso pendiente])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EI005_PRES · Art. 52: Corte 1 = 30% · Corte 2 = 30% · Corte 3 = 40%. Mecanismos: problema, protocolo, seguimiento y presentación oral/escrita. Producto: avance de artículo de nuevo conocimiento. Desglose EV exacto: confirmar en CDigital (tabla SIAC incompleta/EV genérico).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20 de agosto de 2026</w:t>
      </w:r>
      <w:r>
        <w:rPr>
          <w:rFonts w:ascii="Calibri" w:hAnsi="Calibri"/>
          <w:b w:val="0"/>
          <w:color w:val="2B2B2B"/>
          <w:sz w:val="22"/>
        </w:rPr>
        <w:t xml:space="preserve"> (jue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10/08/2026 – cierre 20/08/2026.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 calculada con la regla del periodo (pesos + día de clase; ver Presentación del Curso / Manual).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Título / código</w:t>
      </w:r>
    </w:p>
    <w:p>
      <w:r>
        <w:rPr>
          <w:rFonts w:ascii="Calibri" w:hAnsi="Calibri"/>
          <w:b/>
          <w:color w:val="2B2B2B"/>
          <w:sz w:val="22"/>
        </w:rPr>
        <w:t>ACA 1 — Corte 1 · Fundamentos y 1.er avance del artículo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30%</w:t>
      </w:r>
      <w:r>
        <w:rPr>
          <w:rFonts w:ascii="Calibri" w:hAnsi="Calibri"/>
          <w:b w:val="0"/>
          <w:color w:val="2B2B2B"/>
          <w:sz w:val="22"/>
        </w:rPr>
        <w:t xml:space="preserve"> del curso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 xml:space="preserve">Aplicar fundamentos del método científico, ubicar el tema en una de las </w:t>
      </w:r>
      <w:r>
        <w:rPr>
          <w:rFonts w:ascii="Calibri" w:hAnsi="Calibri"/>
          <w:b/>
          <w:color w:val="2B2B2B"/>
          <w:sz w:val="22"/>
        </w:rPr>
        <w:t>6 líneas</w:t>
      </w:r>
      <w:r>
        <w:rPr>
          <w:rFonts w:ascii="Calibri" w:hAnsi="Calibri"/>
          <w:b w:val="0"/>
          <w:color w:val="2B2B2B"/>
          <w:sz w:val="22"/>
        </w:rPr>
        <w:t xml:space="preserve"> de Ingeniería y entregar el </w:t>
      </w:r>
      <w:r>
        <w:rPr>
          <w:rFonts w:ascii="Calibri" w:hAnsi="Calibri"/>
          <w:b/>
          <w:color w:val="2B2B2B"/>
          <w:sz w:val="22"/>
        </w:rPr>
        <w:t>primer avance</w:t>
      </w:r>
      <w:r>
        <w:rPr>
          <w:rFonts w:ascii="Calibri" w:hAnsi="Calibri"/>
          <w:b w:val="0"/>
          <w:color w:val="2B2B2B"/>
          <w:sz w:val="22"/>
        </w:rPr>
        <w:t xml:space="preserve"> del artículo/protocolo (Syllabus U1–U5).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Consigna (paso a paso)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Elige una temática ligada a tu entorno y a una línea (IoT, Big Data, IA, cloud/FinTech, aplicaciones, telemática).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Resume en 1 página: tema, línea, motivación y pregunta tentativa.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Elabora el </w:t>
      </w:r>
      <w:r>
        <w:rPr>
          <w:rFonts w:ascii="Calibri" w:hAnsi="Calibri"/>
          <w:b/>
          <w:color w:val="2B2B2B"/>
          <w:sz w:val="22"/>
        </w:rPr>
        <w:t>1.er avance del artículo</w:t>
      </w:r>
      <w:r>
        <w:rPr>
          <w:rFonts w:ascii="Calibri" w:hAnsi="Calibri"/>
          <w:b w:val="0"/>
          <w:color w:val="2B2B2B"/>
          <w:sz w:val="22"/>
        </w:rPr>
        <w:t xml:space="preserve"> (portada + introducción breve + problema tentativo + fuentes iniciales).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Prepárate para la </w:t>
      </w:r>
      <w:r>
        <w:rPr>
          <w:rFonts w:ascii="Calibri" w:hAnsi="Calibri"/>
          <w:b/>
          <w:color w:val="2B2B2B"/>
          <w:sz w:val="22"/>
        </w:rPr>
        <w:t>prueba / talleres</w:t>
      </w:r>
      <w:r>
        <w:rPr>
          <w:rFonts w:ascii="Calibri" w:hAnsi="Calibri"/>
          <w:b w:val="0"/>
          <w:color w:val="2B2B2B"/>
          <w:sz w:val="22"/>
        </w:rPr>
        <w:t xml:space="preserve"> del corte (tipos de conocimiento, fuentes, caracterización del problema) según lo indique el Docente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Producto entregable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Avance documental en plantilla APA CUN (</w:t>
      </w:r>
      <w:r>
        <w:rPr>
          <w:rFonts w:ascii="Consolas" w:hAnsi="Consolas"/>
          <w:color w:val="111111"/>
          <w:sz w:val="21"/>
        </w:rPr>
        <w:t>Recursos/Plantilla_APA_CUN_Proyecto de grado.docx</w:t>
      </w:r>
      <w:r>
        <w:rPr>
          <w:rFonts w:ascii="Calibri" w:hAnsi="Calibri"/>
          <w:b w:val="0"/>
          <w:color w:val="2B2B2B"/>
          <w:sz w:val="22"/>
        </w:rPr>
        <w:t>) o estructura equivalente en Google Docs.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Extensión orientativa: </w:t>
      </w:r>
      <w:r>
        <w:rPr>
          <w:rFonts w:ascii="Calibri" w:hAnsi="Calibri"/>
          <w:b/>
          <w:color w:val="2B2B2B"/>
          <w:sz w:val="22"/>
        </w:rPr>
        <w:t>4–7 páginas</w:t>
      </w:r>
      <w:r>
        <w:rPr>
          <w:rFonts w:ascii="Calibri" w:hAnsi="Calibri"/>
          <w:b w:val="0"/>
          <w:color w:val="2B2B2B"/>
          <w:sz w:val="22"/>
        </w:rPr>
        <w:t xml:space="preserve"> de avance.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Nombre sugerido de archivo: </w:t>
      </w:r>
      <w:r>
        <w:rPr>
          <w:rFonts w:ascii="Consolas" w:hAnsi="Consolas"/>
          <w:color w:val="111111"/>
          <w:sz w:val="21"/>
        </w:rPr>
        <w:t>INV_ACA1_Apellido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Criterios / checklist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Línea de Ingeniería explícita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Problema/tema delimitado de forma preliminar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Avance escrito comprensible y con fuentes iniciales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Integridad académica (citas)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Cumplimiento de talleres/quices del corte en CDigital  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Padlet solo para rompehielos de presentación — no sustituye esta entrega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Tras </w:t>
      </w:r>
      <w:r>
        <w:rPr>
          <w:rFonts w:ascii="Calibri" w:hAnsi="Calibri"/>
          <w:b/>
          <w:color w:val="2B2B2B"/>
          <w:sz w:val="22"/>
        </w:rPr>
        <w:t>Sesiones 01–04</w:t>
      </w:r>
      <w:r>
        <w:rPr>
          <w:rFonts w:ascii="Calibri" w:hAnsi="Calibri"/>
          <w:b w:val="0"/>
          <w:color w:val="2B2B2B"/>
          <w:sz w:val="22"/>
        </w:rPr>
        <w:t xml:space="preserve"> (syllabus · método científico · MinCiencias/líneas · prueba parcial / 1.er avance).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enunciado: cálculo regenerable (</w:t>
      </w:r>
      <w:r>
        <w:rPr>
          <w:rFonts w:ascii="Consolas" w:hAnsi="Consolas"/>
          <w:i/>
          <w:color w:val="111111"/>
          <w:sz w:val="20"/>
        </w:rPr>
        <w:t>config/cursos/fechas_entrega_aca.py</w:t>
      </w:r>
      <w:r>
        <w:rPr>
          <w:rFonts w:ascii="Calibri" w:hAnsi="Calibri"/>
          <w:b w:val="0"/>
          <w:i/>
          <w:color w:val="2B2B2B"/>
          <w:sz w:val="21"/>
        </w:rPr>
        <w:t>) · Periodo [inicio–recepción] repartido por pesos del componente; entrega = día de clase semanal en o antes del fin de tramo (ultimo item &lt;= recepcion). P1: coev/autoev tras ACA 3 hasta cierre. Fuente: config/cursos/fechas_entrega_aca.py + carga_academica_2026.json.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INVESTIGACIÓN, CIENCIA Y TECNOLOGÍA · Enunciado ACA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