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carpeta). Evaluación orientativa Art. 52: 30/30/40 — CONFIRMAR en CDigital. Producto: avance consolidado del proyecto/artículo hacia TG3.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09 de noviembre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12/10/2026 – cierre 09/11/2026.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Corte 3 · Metodología e integración del avance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40%</w:t>
      </w:r>
      <w:r>
        <w:rPr>
          <w:rFonts w:ascii="Calibri" w:hAnsi="Calibri"/>
          <w:b w:val="0"/>
          <w:color w:val="2B2B2B"/>
          <w:sz w:val="22"/>
        </w:rPr>
        <w:t xml:space="preserve"> (orientativo)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Avanzar el diseño metodológico (propuesto), instrumentos/plan de análisis e integrar el documento listo para continuidad en </w:t>
      </w:r>
      <w:r>
        <w:rPr>
          <w:rFonts w:ascii="Calibri" w:hAnsi="Calibri"/>
          <w:b/>
          <w:color w:val="2B2B2B"/>
          <w:sz w:val="22"/>
        </w:rPr>
        <w:t>Trabajo de Grado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enfoque, tipo, alcance y diseño metodológico </w:t>
      </w:r>
      <w:r>
        <w:rPr>
          <w:rFonts w:ascii="Calibri" w:hAnsi="Calibri"/>
          <w:b/>
          <w:color w:val="2B2B2B"/>
          <w:sz w:val="22"/>
        </w:rPr>
        <w:t>propuesto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Define instrumentos y plan de análisis (propuestos).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 el avance completo y socializa (según indique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Cierra con un apartado “listo para TG3” (qué falta ejecutar/sustentar).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final del periodo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consolidado (plantilla APA CUN).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Extensión orientativa: documento integrado del avance TG2.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TG2_ACA3_Apellido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Metodología coherente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Instrumentos/plan propuestos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Documento integrado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Preparación explícita para TG3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académica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08–12</w:t>
      </w:r>
      <w:r>
        <w:rPr>
          <w:rFonts w:ascii="Calibri" w:hAnsi="Calibri"/>
          <w:b w:val="0"/>
          <w:color w:val="2B2B2B"/>
          <w:sz w:val="22"/>
        </w:rPr>
        <w:t xml:space="preserve"> (metodología · instrumentos · integración · socialización · cierre hacia TG3).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