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07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07/09/2026.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Delimitación y formulación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Confirmar peso exacto en CDigital / Syllabus cuando esté disponible.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Retomar el proyecto de semestres anteriores, delimitar/reformular tema y problema, y fijar pregunta, objetivos y título provisional + estructura del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Diagnostica el estado actual de tu proyecto (qué tienes / qué falta).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Delimita o reformula el </w:t>
      </w:r>
      <w:r>
        <w:rPr>
          <w:rFonts w:ascii="Calibri" w:hAnsi="Calibri"/>
          <w:b/>
          <w:color w:val="2B2B2B"/>
          <w:sz w:val="22"/>
        </w:rPr>
        <w:t>problema</w:t>
      </w:r>
      <w:r>
        <w:rPr>
          <w:rFonts w:ascii="Calibri" w:hAnsi="Calibri"/>
          <w:b w:val="0"/>
          <w:color w:val="2B2B2B"/>
          <w:sz w:val="22"/>
        </w:rPr>
        <w:t xml:space="preserve"> alineado a Ingeniería de Sistemas.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Arma la estructura del documento en plantilla APA CUN.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el avance del Corte 1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Avance en 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 (abrir en Google Docs).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Estado del proyecto explícito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 y pregunta coherentes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Objetivos alineados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Estructura APA iniciada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02–04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 · estructura del documento / artículo de avance · antecedentes y referentes).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 — allí se firma el acuerdo pedagógico — y la delimitación/reformulación del tema va como lectura autónoma.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