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Enunciado ACA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Enunciado para estudiantes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Entrega oficial:</w:t>
      </w:r>
      <w:r>
        <w:rPr>
          <w:rFonts w:ascii="Calibri" w:hAnsi="Calibri"/>
          <w:b w:val="0"/>
          <w:color w:val="2B2B2B"/>
          <w:sz w:val="22"/>
        </w:rPr>
        <w:t xml:space="preserve"> solo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carpeta). Evaluación orientativa Art. 52: 30/30/40 — CONFIRMAR en CDigital. Producto: avance consolidado del proyecto/artículo hacia TG3.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Lee este enunciado completo antes de empezar. Si hay duda de peso, rúbrica o ventana de entrega, confirma con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y lo publicado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Fecha de entrega</w:t>
      </w:r>
    </w:p>
    <w:p>
      <w:r>
        <w:rPr>
          <w:rFonts w:ascii="Calibri" w:hAnsi="Calibri"/>
          <w:b/>
          <w:color w:val="2B2B2B"/>
          <w:sz w:val="22"/>
        </w:rPr>
        <w:t>Fecha de entrega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09 de noviembre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12/10/2026 – cierre 09/11/2026.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Título / código</w:t>
      </w:r>
    </w:p>
    <w:p>
      <w:r>
        <w:rPr>
          <w:rFonts w:ascii="Calibri" w:hAnsi="Calibri"/>
          <w:b/>
          <w:color w:val="2B2B2B"/>
          <w:sz w:val="22"/>
        </w:rPr>
        <w:t>ACA 3 — Corte 3 · Metodología e integración del avance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40%</w:t>
      </w:r>
      <w:r>
        <w:rPr>
          <w:rFonts w:ascii="Calibri" w:hAnsi="Calibri"/>
          <w:b w:val="0"/>
          <w:color w:val="2B2B2B"/>
          <w:sz w:val="22"/>
        </w:rPr>
        <w:t xml:space="preserve"> (orientativo)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Propósito / competencia que evalúa</w:t>
      </w:r>
    </w:p>
    <w:p>
      <w:r>
        <w:rPr>
          <w:rFonts w:ascii="Calibri" w:hAnsi="Calibri"/>
          <w:b w:val="0"/>
          <w:color w:val="2B2B2B"/>
          <w:sz w:val="22"/>
        </w:rPr>
        <w:t xml:space="preserve">Avanzar el diseño metodológico (propuesto), instrumentos/plan de análisis e integrar el documento listo para continuidad en </w:t>
      </w:r>
      <w:r>
        <w:rPr>
          <w:rFonts w:ascii="Calibri" w:hAnsi="Calibri"/>
          <w:b/>
          <w:color w:val="2B2B2B"/>
          <w:sz w:val="22"/>
        </w:rPr>
        <w:t>Trabajo de Grado 3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Consigna (paso a paso)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Completa enfoque, tipo, alcance y diseño metodológico </w:t>
      </w:r>
      <w:r>
        <w:rPr>
          <w:rFonts w:ascii="Calibri" w:hAnsi="Calibri"/>
          <w:b/>
          <w:color w:val="2B2B2B"/>
          <w:sz w:val="22"/>
        </w:rPr>
        <w:t>propuesto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Define instrumentos y plan de análisis (propuestos).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Integra el avance completo y socializa (según indique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Cierra con un apartado “listo para TG3” (qué falta ejecutar/sustentar).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>Entrega final del periodo en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Producto entregable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Avance consolidado (plantilla APA CUN).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Extensión orientativa: documento integrado del avance TG2.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Archivo: </w:t>
      </w:r>
      <w:r>
        <w:rPr>
          <w:rFonts w:ascii="Consolas" w:hAnsi="Consolas"/>
          <w:color w:val="111111"/>
          <w:sz w:val="21"/>
        </w:rPr>
        <w:t>TG2_ACA3_Apellido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Criterios / checklist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Metodología coherente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Instrumentos/plan propuestos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Documento integrado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Preparación explícita para TG3  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[ ] Integridad académica  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Herramientas (solo gratis + nube)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Docs / Word Online (abre la plantilla APA ahí; no se exige Office de escritorio)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Google Scholar, SciELO, Redalyc, biblioteca virtual CUN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ZoteroBib (https://zbib.org/) o citas nativas de Google Docs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CDigital (entrega y retroalimentación)</w:t>
      </w:r>
    </w:p>
    <w:p>
      <w:r>
        <w:rPr>
          <w:rFonts w:ascii="Calibri" w:hAnsi="Calibri"/>
          <w:b/>
          <w:color w:val="2B2B2B"/>
          <w:sz w:val="22"/>
        </w:rPr>
        <w:t>No se exige</w:t>
      </w:r>
      <w:r>
        <w:rPr>
          <w:rFonts w:ascii="Calibri" w:hAnsi="Calibri"/>
          <w:b w:val="0"/>
          <w:color w:val="2B2B2B"/>
          <w:sz w:val="22"/>
        </w:rPr>
        <w:t xml:space="preserve"> software de escritorio de pago ni instalaciones locales pesadas.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Tras </w:t>
      </w:r>
      <w:r>
        <w:rPr>
          <w:rFonts w:ascii="Calibri" w:hAnsi="Calibri"/>
          <w:b/>
          <w:color w:val="2B2B2B"/>
          <w:sz w:val="22"/>
        </w:rPr>
        <w:t>Sesiones 09–11</w:t>
      </w:r>
      <w:r>
        <w:rPr>
          <w:rFonts w:ascii="Calibri" w:hAnsi="Calibri"/>
          <w:b w:val="0"/>
          <w:color w:val="2B2B2B"/>
          <w:sz w:val="22"/>
        </w:rPr>
        <w:t xml:space="preserve"> (integración del avance y correcciones · socialización de avances · cierre del avance y preparación para TG3).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enunciado: cálculo regenerable (</w:t>
      </w:r>
      <w:r>
        <w:rPr>
          <w:rFonts w:ascii="Consolas" w:hAnsi="Consolas"/>
          <w:i/>
          <w:color w:val="111111"/>
          <w:sz w:val="20"/>
        </w:rPr>
        <w:t>config/cursos/fechas_entrega_aca.py</w:t>
      </w:r>
      <w:r>
        <w:rPr>
          <w:rFonts w:ascii="Calibri" w:hAnsi="Calibri"/>
          <w:b w:val="0"/>
          <w:i/>
          <w:color w:val="2B2B2B"/>
          <w:sz w:val="21"/>
        </w:rPr>
        <w:t>) · Periodo [inicio–recepción] repartido por pesos del componente; entrega = día de clase semanal en o antes del fin de tramo (ultimo item &lt;= recepcion). P1: coev/autoev tras ACA 3 hasta cierre. Fuente: config/cursos/fechas_entrega_aca.py + carga_academica_2026.json.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Enunciado ACA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