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· Corte único 100%: EV05 50% (proceso académico) + EXAM 50% (sustentación ante pares/jurados). Artículo ≥ 50 referencias; extensión no inferior a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Fechas de entrega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29/09/2026 – 03/11/2026)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29/09/2026 – 10/11/2026)</w:t>
      </w:r>
    </w:p>
    <w:p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EXAM · Sustentación ante jurados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50%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Sustentar oralmente el trabajo de grado ante pares/jurados asignados por la Dirección del Programa (Syllabus U13) y completar entregables de repositorio (U14).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Confirma fecha, modalidad y requisitos de sustentación con el Docente /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exposición (póster + síntesis del artículo: problema, método, hallazgos, aporte).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checklist oficial (U14).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Sustentación oral (evidencia según protocolo del programa).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final para repositorio (artículo + anexos que exija la institución).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 de apoyo sugerido: </w:t>
      </w:r>
      <w:r>
        <w:rPr>
          <w:rFonts w:ascii="Consolas" w:hAnsi="Consolas"/>
          <w:color w:val="111111"/>
          <w:sz w:val="21"/>
        </w:rPr>
        <w:t>TG3_EXAM_Sustentacion_Apellido</w:t>
      </w:r>
      <w:r>
        <w:rPr>
          <w:rFonts w:ascii="Calibri" w:hAnsi="Calibri"/>
          <w:b w:val="0"/>
          <w:color w:val="2B2B2B"/>
          <w:sz w:val="22"/>
        </w:rPr>
        <w:t xml:space="preserve"> (slides/póster).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Dominio del contenido del artículo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argumentación en la defensa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Respuesta a jurados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Material visual (póster) adecuado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Entregables de repositorio completos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= sustentación ante jurados · 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entregables para repositorio institucional · </w:t>
      </w:r>
      <w:r>
        <w:rPr>
          <w:rFonts w:ascii="Calibri" w:hAnsi="Calibri"/>
          <w:b/>
          <w:color w:val="2B2B2B"/>
          <w:sz w:val="22"/>
        </w:rPr>
        <w:t>Sesiones 14–15</w:t>
      </w:r>
      <w:r>
        <w:rPr>
          <w:rFonts w:ascii="Calibri" w:hAnsi="Calibri"/>
          <w:b w:val="0"/>
          <w:color w:val="2B2B2B"/>
          <w:sz w:val="22"/>
        </w:rPr>
        <w:t xml:space="preserve"> son buffer de calendario, solo si el calendario del grupo las contempla (el grupo 54450 no tiene la Sesión 15).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