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15)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de cierre del curso:</w:t>
      </w:r>
      <w:r>
        <w:rPr>
          <w:b w:val="0"/>
          <w:i/>
          <w:color w:val="4A4A49"/>
          <w:sz w:val="21"/>
        </w:rPr>
        <w:t xml:space="preserve"> se arma y se revisa el informe final con la lista de verificación, se socializa el trabajo y se hace la autoevaluación.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 (</w:t>
      </w:r>
      <w:r>
        <w:rPr>
          <w:b/>
          <w:color w:val="4A4A49"/>
          <w:sz w:val="22"/>
        </w:rPr>
        <w:t>20 %</w:t>
      </w:r>
      <w:r>
        <w:rPr>
          <w:b w:val="0"/>
          <w:color w:val="4A4A49"/>
          <w:sz w:val="22"/>
        </w:rPr>
        <w:t>).</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el pago de haber escrito en cada sesión</w:t>
      </w:r>
      <w:r>
        <w:rPr>
          <w:b w:val="0"/>
          <w:color w:val="4A4A49"/>
          <w:sz w:val="22"/>
        </w:rPr>
        <w:t xml:space="preserve"> → diapositiva 4</w:t>
      </w:r>
    </w:p>
    <w:p>
      <w:pPr>
        <w:pStyle w:val="ListBullet"/>
      </w:pPr>
      <w:r>
        <w:rPr>
          <w:b/>
          <w:color w:val="4A4A49"/>
          <w:sz w:val="22"/>
        </w:rPr>
        <w:t>Las doce secciones, y el orden correcto para armarlas</w:t>
      </w:r>
      <w:r>
        <w:rPr>
          <w:b w:val="0"/>
          <w:color w:val="4A4A49"/>
          <w:sz w:val="22"/>
        </w:rPr>
        <w:t xml:space="preserve"> → diapositivas 5, 6 y 7</w:t>
      </w:r>
    </w:p>
    <w:p>
      <w:pPr>
        <w:pStyle w:val="ListBullet"/>
      </w:pPr>
      <w:r>
        <w:rPr>
          <w:b/>
          <w:color w:val="4A4A49"/>
          <w:sz w:val="22"/>
        </w:rPr>
        <w:t>La galería, y por qué socializar no es exponer otra vez</w:t>
      </w:r>
      <w:r>
        <w:rPr>
          <w:b w:val="0"/>
          <w:color w:val="4A4A49"/>
          <w:sz w:val="22"/>
        </w:rPr>
        <w:t xml:space="preserve"> → diapositiva 8</w:t>
      </w:r>
    </w:p>
    <w:p>
      <w:pPr>
        <w:pStyle w:val="ListBullet"/>
      </w:pPr>
      <w:r>
        <w:rPr>
          <w:b/>
          <w:color w:val="4A4A49"/>
          <w:sz w:val="22"/>
        </w:rPr>
        <w:t>Autoevaluación y coevaluación: cómo evitar que sea un trámite</w:t>
      </w:r>
      <w:r>
        <w:rPr>
          <w:b w:val="0"/>
          <w:color w:val="4A4A49"/>
          <w:sz w:val="22"/>
        </w:rPr>
        <w:t xml:space="preserve"> → diapositiva 10</w:t>
      </w:r>
    </w:p>
    <w:p>
      <w:pPr>
        <w:pStyle w:val="ListBullet"/>
      </w:pPr>
      <w:r>
        <w:rPr>
          <w:b/>
          <w:color w:val="4A4A49"/>
          <w:sz w:val="22"/>
        </w:rPr>
        <w:t>El cierre del curso: veinte minutos que no son un discurso</w:t>
      </w:r>
      <w:r>
        <w:rPr>
          <w:b w:val="0"/>
          <w:color w:val="4A4A49"/>
          <w:sz w:val="22"/>
        </w:rPr>
        <w:t xml:space="preserve"> → diapositiva 11</w:t>
      </w:r>
    </w:p>
    <w:p>
      <w:pPr>
        <w:spacing w:before="200" w:after="60"/>
      </w:pPr>
      <w:r>
        <w:rPr>
          <w:b/>
          <w:color w:val="1A1C1D"/>
          <w:sz w:val="32"/>
        </w:rPr>
        <w:t>Desarrollo de la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Clase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Clase 12, «ninguna limitación» no es creíble en ningún equipo. Decirlo ahora les da tiempo de corregirlo.</w:t>
      </w:r>
    </w:p>
    <w:p>
      <w:pPr>
        <w:spacing w:before="200" w:after="60"/>
      </w:pPr>
      <w:r>
        <w:rPr>
          <w:b/>
          <w:color w:val="1A1C1D"/>
          <w:sz w:val="32"/>
        </w:rPr>
        <w:t>00:50–01:10 · Autoevaluación y coevaluación (20 min) · [Slide 10]</w:t>
      </w:r>
    </w:p>
    <w:p>
      <w:pPr>
        <w:pStyle w:val="ListBullet"/>
      </w:pPr>
      <w:r>
        <w:rPr>
          <w:b/>
          <w:color w:val="4A4A49"/>
          <w:sz w:val="22"/>
        </w:rPr>
        <w:t>3 min</w:t>
      </w:r>
      <w:r>
        <w:rPr>
          <w:b w:val="0"/>
          <w:color w:val="4A4A49"/>
          <w:sz w:val="22"/>
        </w:rPr>
        <w:t xml:space="preserve"> · Explique el formato [Slide 10].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11][fuera del deck · guía del taller en la carpeta][Slide 12]</w:t>
      </w:r>
    </w:p>
    <w:p>
      <w:r>
        <w:rPr>
          <w:b/>
          <w:color w:val="4A4A49"/>
          <w:sz w:val="22"/>
        </w:rPr>
        <w:t>[Slide 11]</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ind w:left="432"/>
        <w:shd w:val="clear" w:fill="F7F7F8"/>
      </w:pPr>
      <w:r>
        <w:rPr>
          <w:b/>
          <w:i/>
          <w:color w:val="4A4A49"/>
          <w:sz w:val="21"/>
        </w:rPr>
        <w:t>Ejemplos resueltos</w:t>
      </w:r>
      <w:r>
        <w:rPr>
          <w:b w:val="0"/>
          <w:i/>
          <w:color w:val="4A4A49"/>
          <w:sz w:val="21"/>
        </w:rPr>
        <w:t xml:space="preserve"> (láminas 9):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(20 %) · secciones 1 a 6</w:t>
      </w:r>
    </w:p>
    <w:p>
      <w:pPr>
        <w:pStyle w:val="ListNumber"/>
      </w:pPr>
      <w:r>
        <w:rPr>
          <w:b w:val="0"/>
          <w:color w:val="4A4A49"/>
          <w:sz w:val="22"/>
        </w:rPr>
        <w:t>Qué lleva el informe final (20 %) · secciones 7 a 12</w:t>
      </w:r>
    </w:p>
    <w:p>
      <w:pPr>
        <w:pStyle w:val="ListNumber"/>
      </w:pPr>
      <w:r>
        <w:rPr>
          <w:b w:val="0"/>
          <w:color w:val="4A4A49"/>
          <w:sz w:val="22"/>
        </w:rPr>
        <w:t>Cómo se arma el informe en veinticuatro minutos</w:t>
      </w:r>
    </w:p>
    <w:p>
      <w:pPr>
        <w:pStyle w:val="ListNumber"/>
      </w:pPr>
      <w:r>
        <w:rPr>
          <w:b w:val="0"/>
          <w:color w:val="4A4A49"/>
          <w:sz w:val="22"/>
        </w:rPr>
        <w:t>Cuatro cosas que bajan la nota del informe</w:t>
      </w:r>
    </w:p>
    <w:p>
      <w:pPr>
        <w:pStyle w:val="ListNumber"/>
      </w:pPr>
      <w:r>
        <w:rPr>
          <w:b w:val="0"/>
          <w:color w:val="4A4A49"/>
          <w:sz w:val="22"/>
        </w:rPr>
        <w:t>Ejemplo: la sección 10 del informe, vacía y bien hecha</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Cierre · Gracias · Introducción a la Ingeniería</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Clase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Preguntas que suelen hacer</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Clase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Antes de empezar</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Clase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b w:val="0"/>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b w:val="0"/>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