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 la clase,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(1/2)</w:t>
      </w:r>
      <w:r>
        <w:rPr>
          <w:b w:val="0"/>
          <w:color w:val="4A4A49"/>
          <w:sz w:val="22"/>
        </w:rPr>
        <w:t xml:space="preserve"> — 5 vinetas.</w:t>
      </w:r>
    </w:p>
    <w:p>
      <w:pPr>
        <w:pStyle w:val="ListBullet2"/>
      </w:pPr>
      <w:r>
        <w:rPr>
          <w:b w:val="0"/>
          <w:color w:val="4A4A49"/>
          <w:sz w:val="22"/>
        </w:rPr>
        <w:t>Fuera de la lamina (habla de la practica): El precio de indexar se paga en cada escritura y hay que cuantificarlo, porque es la mitad del veredicto que la pregunta 5 pide por escrito.</w:t>
      </w:r>
    </w:p>
    <w:p>
      <w:pPr>
        <w:pStyle w:val="ListBullet2"/>
      </w:pPr>
      <w:r>
        <w:rPr>
          <w:b w:val="0"/>
          <w:color w:val="4A4A49"/>
          <w:sz w:val="22"/>
        </w:rPr>
        <w:t>Fuera de la lamina (habla de la practica): En produccion eso se decide con datos: PostgreSQL expone pg_stat_user_indexes, donde idx_scan en cero significa que el indice nunca se uso; conviene mencionarlo aunque en una sesion de taller no de tiempo de acumular estadisticas de uso.</w:t>
      </w:r>
    </w:p>
    <w:p>
      <w:r>
        <w:rPr>
          <w:b/>
          <w:color w:val="4A4A49"/>
          <w:sz w:val="22"/>
        </w:rPr>
        <w:t>[Slide 10] El precio se paga en cada escritura, y se cuantifica (2/2)</w:t>
      </w:r>
      <w:r>
        <w:rPr>
          <w:b w:val="0"/>
          <w:color w:val="4A4A49"/>
          <w:sz w:val="22"/>
        </w:rPr>
        <w:t xml:space="preserve"> — 6 vinetas.</w:t>
      </w:r>
    </w:p>
    <w:p>
      <w:r>
        <w:rPr>
          <w:b/>
          <w:color w:val="4A4A49"/>
          <w:sz w:val="22"/>
        </w:rPr>
        <w:t>[Slide 11]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12] Cuando el indice responde solo, sin tocar la tabla (1/2)</w:t>
      </w:r>
      <w:r>
        <w:rPr>
          <w:b w:val="0"/>
          <w:color w:val="4A4A49"/>
          <w:sz w:val="22"/>
        </w:rPr>
        <w:t xml:space="preserve"> — 3 vinetas.</w:t>
      </w:r>
    </w:p>
    <w:p>
      <w:pPr>
        <w:pStyle w:val="ListBullet2"/>
      </w:pPr>
      <w:r>
        <w:rPr>
          <w:b w:val="0"/>
          <w:color w:val="4A4A49"/>
          <w:sz w:val="22"/>
        </w:rPr>
        <w:t>Oracle no tiene INCLUDE y la columna se agrega al final de la clave.</w:t>
      </w:r>
    </w:p>
    <w:p>
      <w:pPr>
        <w:pStyle w:val="ListBullet2"/>
      </w:pPr>
      <w:r>
        <w:rPr>
          <w:b w:val="0"/>
          <w:color w:val="4A4A49"/>
          <w:sz w:val="22"/>
        </w:rPr>
        <w:t>Fuera de la lamina (habla de la practica): Esto NO se califica hoy, pero es la respuesta a la pregunta que va a salir cuando alguien vea Index Only Scan en su plan y no sepa si esta bien.</w:t>
      </w:r>
    </w:p>
    <w:p>
      <w:r>
        <w:rPr>
          <w:b/>
          <w:color w:val="4A4A49"/>
          <w:sz w:val="22"/>
        </w:rPr>
        <w:t>[Slide 13] Cuando el indice responde solo, sin tocar la tabla (2/2)</w:t>
      </w:r>
      <w:r>
        <w:rPr>
          <w:b w:val="0"/>
          <w:color w:val="4A4A49"/>
          <w:sz w:val="22"/>
        </w:rPr>
        <w:t xml:space="preserve"> — 4 vinetas.</w:t>
      </w:r>
    </w:p>
    <w:p>
      <w:r>
        <w:rPr>
          <w:b/>
          <w:color w:val="4A4A49"/>
          <w:sz w:val="22"/>
        </w:rPr>
        <w:t>[Slide 14] Cuando el indice responde solo, sin tocar la... — sintaxis</w:t>
      </w:r>
      <w:r>
        <w:rPr>
          <w:b w:val="0"/>
          <w:color w:val="4A4A49"/>
          <w:sz w:val="22"/>
        </w:rPr>
        <w:t xml:space="preserve"> — 1 vinetas.</w:t>
      </w:r>
    </w:p>
    <w:p>
      <w:r>
        <w:rPr>
          <w:b/>
          <w:color w:val="4A4A49"/>
          <w:sz w:val="22"/>
        </w:rPr>
        <w:t>[Slide 15]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16] Las siete razones por las que un indice existente no se usa (2/2)</w:t>
      </w:r>
      <w:r>
        <w:rPr>
          <w:b w:val="0"/>
          <w:color w:val="4A4A49"/>
          <w:sz w:val="22"/>
        </w:rPr>
        <w:t xml:space="preserve"> — 3 vinetas.</w:t>
      </w:r>
    </w:p>
    <w:p>
      <w:r>
        <w:rPr>
          <w:b/>
          <w:color w:val="4A4A49"/>
          <w:sz w:val="22"/>
        </w:rPr>
        <w:t>[Slide 17] Los cinco nombres que se califican, y la consulta que justifica cada uno (1/2)</w:t>
      </w:r>
      <w:r>
        <w:rPr>
          <w:b w:val="0"/>
          <w:color w:val="4A4A49"/>
          <w:sz w:val="22"/>
        </w:rPr>
        <w:t xml:space="preserve"> — 4 vinetas.</w:t>
      </w:r>
    </w:p>
    <w:p>
      <w:pPr>
        <w:pStyle w:val="ListBullet2"/>
      </w:pPr>
      <w:r>
        <w:rPr>
          <w:b w:val="0"/>
          <w:color w:val="4A4A49"/>
          <w:sz w:val="22"/>
        </w:rPr>
        <w:t>El nombre de cada indice importa.</w:t>
      </w:r>
    </w:p>
    <w:p>
      <w:pPr>
        <w:pStyle w:val="ListBullet2"/>
      </w:pPr>
      <w:r>
        <w:rPr>
          <w:b w:val="0"/>
          <w:color w:val="4A4A49"/>
          <w:sz w:val="22"/>
        </w:rPr>
        <w:t>Dos hechos sobre claves evitan la mitad de los indices inutiles que se entregan en los proyectos.</w:t>
      </w:r>
    </w:p>
    <w:p>
      <w:pPr>
        <w:pStyle w:val="ListBullet2"/>
      </w:pPr>
      <w:r>
        <w:rPr>
          <w:b w:val="0"/>
          <w:color w:val="4A4A49"/>
          <w:sz w:val="22"/>
        </w:rPr>
        <w:t>Fuera de la lamina (habla de la practica): Aqui empieza la parte que se califica letra por letra, y conviene decirlo con esas palabras.</w:t>
      </w:r>
    </w:p>
    <w:p>
      <w:pPr>
        <w:pStyle w:val="ListBullet2"/>
      </w:pPr>
      <w:r>
        <w:rPr>
          <w:b w:val="0"/>
          <w:color w:val="4A4A49"/>
          <w:sz w:val="22"/>
        </w:rPr>
        <w:t>Fuera de la lamina (habla de la practica): El nombre de cada indice importa, porque el plan de ejecucion imprime literalmente Index Scan using seguido del nombre y porque la tabla de justificacion de la pregunta 5 se llena con esos mismos nombres.</w:t>
      </w:r>
    </w:p>
    <w:p>
      <w:pPr>
        <w:pStyle w:val="ListBullet2"/>
      </w:pPr>
      <w:r>
        <w:rPr>
          <w:b w:val="0"/>
          <w:color w:val="4A4A49"/>
          <w:sz w:val="22"/>
        </w:rPr>
        <w:t>Fuera de la lamina (habla de la practica): Un aviso concreto: idx_cita_fecha no es ninguno de los cinco, el sufijo es _fecha_hora como la columna, y ese fue durante un tiempo el nombre que aparecia en el material; si alguien lo escribe asi pierde puntos por el nombre y no por el concepto.</w:t>
      </w:r>
    </w:p>
    <w:p>
      <w:r>
        <w:rPr>
          <w:b/>
          <w:color w:val="4A4A49"/>
          <w:sz w:val="22"/>
        </w:rPr>
        <w:t>[Slide 18] Los cinco nombres que se califican, y la consulta que justifica cada uno (2/2)</w:t>
      </w:r>
      <w:r>
        <w:rPr>
          <w:b w:val="0"/>
          <w:color w:val="4A4A49"/>
          <w:sz w:val="22"/>
        </w:rPr>
        <w:t xml:space="preserve"> — 3 vinetas.</w:t>
      </w:r>
    </w:p>
    <w:p>
      <w:r>
        <w:rPr>
          <w:b/>
          <w:color w:val="4A4A49"/>
          <w:sz w:val="22"/>
        </w:rPr>
        <w:t>[Slide 19]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pPr>
        <w:pStyle w:val="ListBullet2"/>
      </w:pPr>
      <w:r>
        <w:rPr>
          <w:b w:val="0"/>
          <w:color w:val="4A4A49"/>
          <w:sz w:val="22"/>
        </w:rPr>
        <w:t>Fuera de la lamina (habla de la practica): El enunciado ademas exige comentar CUAL de los dos indices sobre fecha_hora eligio el planeador para C1, y la rubrica descuenta si no se comenta: no basta pegar el plan, hay que leerlo.</w:t>
      </w:r>
    </w:p>
    <w:p>
      <w:r>
        <w:rPr>
          <w:b/>
          <w:color w:val="4A4A49"/>
          <w:sz w:val="22"/>
        </w:rPr>
        <w:t>[Slide 20] La secuencia de medicion, y por que el ANALYZE del medio no es opcional (2/2)</w:t>
      </w:r>
      <w:r>
        <w:rPr>
          <w:b w:val="0"/>
          <w:color w:val="4A4A49"/>
          <w:sz w:val="22"/>
        </w:rPr>
        <w:t xml:space="preserve"> — 4 vinetas.</w:t>
      </w:r>
    </w:p>
    <w:p>
      <w:r>
        <w:rPr>
          <w:b/>
          <w:color w:val="4A4A49"/>
          <w:sz w:val="22"/>
        </w:rPr>
        <w:t>[Slide 21] La secuencia de medicion, y por que el... — sintaxis</w:t>
      </w:r>
      <w:r>
        <w:rPr>
          <w:b w:val="0"/>
          <w:color w:val="4A4A49"/>
          <w:sz w:val="22"/>
        </w:rPr>
        <w:t xml:space="preserve"> — 7 vinetas.</w:t>
      </w:r>
    </w:p>
    <w:p>
      <w:r>
        <w:rPr>
          <w:b/>
          <w:color w:val="4A4A49"/>
          <w:sz w:val="22"/>
        </w:rPr>
        <w:t>[Slide 22] El experimento del orden de columnas, paso a paso (1/2)</w:t>
      </w:r>
      <w:r>
        <w:rPr>
          <w:b w:val="0"/>
          <w:color w:val="4A4A49"/>
          <w:sz w:val="22"/>
        </w:rPr>
        <w:t xml:space="preserve"> — 4 vinetas.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pPr>
        <w:pStyle w:val="ListBullet2"/>
      </w:pPr>
      <w:r>
        <w:rPr>
          <w:b w:val="0"/>
          <w:color w:val="4A4A49"/>
          <w:sz w:val="22"/>
        </w:rPr>
        <w:t>Fuera de la lamina (habla de la practica): La pregunta 2 no pide creer la regla del prefijo izquierdo, pide demostrarla, y el docente tiene que poder anticipar los tres resultados.</w:t>
      </w:r>
    </w:p>
    <w:p>
      <w:r>
        <w:rPr>
          <w:b/>
          <w:color w:val="4A4A49"/>
          <w:sz w:val="22"/>
        </w:rPr>
        <w:t>[Slide 23] El experimento del orden de columnas, paso a paso (2/2)</w:t>
      </w:r>
      <w:r>
        <w:rPr>
          <w:b w:val="0"/>
          <w:color w:val="4A4A49"/>
          <w:sz w:val="22"/>
        </w:rPr>
        <w:t xml:space="preserve"> — 3 vinetas.</w:t>
      </w:r>
    </w:p>
    <w:p>
      <w:r>
        <w:rPr>
          <w:b/>
          <w:color w:val="4A4A49"/>
          <w:sz w:val="22"/>
        </w:rPr>
        <w:t>[Slide 24] El indice parcial: que indexa, cuanto ahorra y cuando gana (1/3)</w:t>
      </w:r>
      <w:r>
        <w:rPr>
          <w:b w:val="0"/>
          <w:color w:val="4A4A49"/>
          <w:sz w:val="22"/>
        </w:rPr>
        <w:t xml:space="preserve"> — 4 vinetas.</w:t>
      </w:r>
    </w:p>
    <w:p>
      <w:r>
        <w:rPr>
          <w:b/>
          <w:color w:val="4A4A49"/>
          <w:sz w:val="22"/>
        </w:rPr>
        <w:t>[Slide 25] El indice parcial: que indexa, cuanto ahorra y cuando gana (2/3)</w:t>
      </w:r>
      <w:r>
        <w:rPr>
          <w:b w:val="0"/>
          <w:color w:val="4A4A49"/>
          <w:sz w:val="22"/>
        </w:rPr>
        <w:t xml:space="preserve"> — 4 vinetas.</w:t>
      </w:r>
    </w:p>
    <w:p>
      <w:r>
        <w:rPr>
          <w:b/>
          <w:color w:val="4A4A49"/>
          <w:sz w:val="22"/>
        </w:rPr>
        <w:t>[Slide 26] El indice parcial: que indexa, cuanto ahorra y cuando gana (3/3)</w:t>
      </w:r>
      <w:r>
        <w:rPr>
          <w:b w:val="0"/>
          <w:color w:val="4A4A49"/>
          <w:sz w:val="22"/>
        </w:rPr>
        <w:t xml:space="preserve"> — 3 vinetas.</w:t>
      </w:r>
    </w:p>
    <w:p>
      <w:r>
        <w:rPr>
          <w:b/>
          <w:color w:val="4A4A49"/>
          <w:sz w:val="22"/>
        </w:rPr>
        <w:t>[Slide 27] El indice parcial: que indexa, cuanto ahorra... — sintaxis</w:t>
      </w:r>
      <w:r>
        <w:rPr>
          <w:b w:val="0"/>
          <w:color w:val="4A4A49"/>
          <w:sz w:val="22"/>
        </w:rPr>
        <w:t xml:space="preserve"> — 1 vinetas.</w:t>
      </w:r>
    </w:p>
    <w:p>
      <w:r>
        <w:rPr>
          <w:b/>
          <w:color w:val="4A4A49"/>
          <w:sz w:val="22"/>
        </w:rPr>
        <w:t>[Slide 28]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pPr>
        <w:pStyle w:val="ListBullet2"/>
      </w:pPr>
      <w:r>
        <w:rPr>
          <w:b w:val="0"/>
          <w:color w:val="4A4A49"/>
          <w:sz w:val="22"/>
        </w:rPr>
        <w:t>En una tabla particionada PostgreSQL exige que la PK incluya la columna de particion, asi que la clave pasa a ser (id_cita, fecha_hora).</w:t>
      </w:r>
    </w:p>
    <w:p>
      <w:pPr>
        <w:pStyle w:val="ListBullet2"/>
      </w:pPr>
      <w:r>
        <w:rPr>
          <w:b w:val="0"/>
          <w:color w:val="4A4A49"/>
          <w:sz w:val="22"/>
        </w:rPr>
        <w:t>Fuera de la lamina (habla de la practica): Si el docente anuncia que hoy no se implementa, el estudiante llega al taller con una respuesta en prosa a una pregunta que pide SQL ejecutado.</w:t>
      </w:r>
    </w:p>
    <w:p>
      <w:r>
        <w:rPr>
          <w:b/>
          <w:color w:val="4A4A49"/>
          <w:sz w:val="22"/>
        </w:rPr>
        <w:t>[Slide 29] Particionar: que es, y por que hoy si se implementa (2/2)</w:t>
      </w:r>
      <w:r>
        <w:rPr>
          <w:b w:val="0"/>
          <w:color w:val="4A4A49"/>
          <w:sz w:val="22"/>
        </w:rPr>
        <w:t xml:space="preserve"> — 4 vinetas.</w:t>
      </w:r>
    </w:p>
    <w:p>
      <w:r>
        <w:rPr>
          <w:b/>
          <w:color w:val="4A4A49"/>
          <w:sz w:val="22"/>
        </w:rPr>
        <w:t>[Slide 30]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w:t>
      </w:r>
    </w:p>
    <w:p>
      <w:pPr>
        <w:pStyle w:val="ListBullet2"/>
      </w:pPr>
      <w:r>
        <w:rPr>
          <w:b w:val="0"/>
          <w:color w:val="4A4A49"/>
          <w:sz w:val="22"/>
        </w:rPr>
        <w:t>Fuera de la lamina (habla de la practica): Sin esa consulta no hay evidencia del enrutamiento, solo un INSERT que no dio error, y la rubrica lo pide explicitamente.</w:t>
      </w:r>
    </w:p>
    <w:p>
      <w:r>
        <w:rPr>
          <w:b/>
          <w:color w:val="4A4A49"/>
          <w:sz w:val="22"/>
        </w:rPr>
        <w:t>[Slide 31] El DDL de la particion, con sus dos trampas (2/2)</w:t>
      </w:r>
      <w:r>
        <w:rPr>
          <w:b w:val="0"/>
          <w:color w:val="4A4A49"/>
          <w:sz w:val="22"/>
        </w:rPr>
        <w:t xml:space="preserve"> — 3 vinetas.</w:t>
      </w:r>
    </w:p>
    <w:p>
      <w:r>
        <w:rPr>
          <w:b/>
          <w:color w:val="4A4A49"/>
          <w:sz w:val="22"/>
        </w:rPr>
        <w:t>[Slide 32] El DDL de la particion, con sus dos trampas — sintaxis</w:t>
      </w:r>
      <w:r>
        <w:rPr>
          <w:b w:val="0"/>
          <w:color w:val="4A4A49"/>
          <w:sz w:val="22"/>
        </w:rPr>
        <w:t xml:space="preserve"> — 20 vinetas.</w:t>
      </w:r>
    </w:p>
    <w:p>
      <w:r>
        <w:rPr>
          <w:b/>
          <w:color w:val="4A4A49"/>
          <w:sz w:val="22"/>
        </w:rPr>
        <w:t>[Slide 33] El veredicto de particionamiento que pide la pregunta 5 (1/2)</w:t>
      </w:r>
      <w:r>
        <w:rPr>
          <w:b w:val="0"/>
          <w:color w:val="4A4A49"/>
          <w:sz w:val="22"/>
        </w:rPr>
        <w:t xml:space="preserve"> — 6 vinetas.</w:t>
      </w:r>
    </w:p>
    <w:p>
      <w:pPr>
        <w:pStyle w:val="ListBullet2"/>
      </w:pPr>
      <w:r>
        <w:rPr>
          <w:b w:val="0"/>
          <w:color w:val="4A4A49"/>
          <w:sz w:val="22"/>
        </w:rPr>
        <w:t>Un veredicto de particionamiento tiene tres exigencias distintas.</w:t>
      </w:r>
    </w:p>
    <w:p>
      <w:pPr>
        <w:pStyle w:val="ListBullet2"/>
      </w:pPr>
      <w:r>
        <w:rPr>
          <w:b w:val="0"/>
          <w:color w:val="4A4A49"/>
          <w:sz w:val="22"/>
        </w:rPr>
        <w:t>Fuera de la lamina (habla de la practica): Segunda: la ganancia de rendimiento con 5.010 filas no es apreciable, y reconocerlo suma puntos en vez de restarlos, porque la alternativa es inventar una mejora que el plan no muestra.</w:t>
      </w:r>
    </w:p>
    <w:p>
      <w:r>
        <w:rPr>
          <w:b/>
          <w:color w:val="4A4A49"/>
          <w:sz w:val="22"/>
        </w:rPr>
        <w:t>[Slide 34] El veredicto de particionamiento que pide la pregunta 5 (2/2)</w:t>
      </w:r>
      <w:r>
        <w:rPr>
          <w:b w:val="0"/>
          <w:color w:val="4A4A49"/>
          <w:sz w:val="22"/>
        </w:rPr>
        <w:t xml:space="preserve"> — 4 vinetas.</w:t>
      </w:r>
    </w:p>
    <w:p>
      <w:r>
        <w:rPr>
          <w:b/>
          <w:color w:val="4A4A49"/>
          <w:sz w:val="22"/>
        </w:rPr>
        <w:t>[Slide 35] La demo, en el orden en que se proyecta (1/2)</w:t>
      </w:r>
      <w:r>
        <w:rPr>
          <w:b w:val="0"/>
          <w:color w:val="4A4A49"/>
          <w:sz w:val="22"/>
        </w:rPr>
        <w:t xml:space="preserve"> — 4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pPr>
        <w:pStyle w:val="ListBullet2"/>
      </w:pPr>
      <w:r>
        <w:rPr>
          <w:b w:val="0"/>
          <w:color w:val="4A4A49"/>
          <w:sz w:val="22"/>
        </w:rPr>
        <w:t>Fuera de la lamina (habla de la practica): El bloque 4 es el particionamiento completo, con una salvedad que hay que decir en vivo: como la siembra del bloque 0 pone todas las citas en 2026, todo cae en cita_hist_2026 y cita_hist_2025 queda vacia; eso ya demuestra el enrutamiento, y la base de la pregunta 3 si reparte sus 5.010 citas entre los dos anos.</w:t>
      </w:r>
    </w:p>
    <w:p>
      <w:pPr>
        <w:pStyle w:val="ListBullet2"/>
      </w:pPr>
      <w:r>
        <w:rPr>
          <w:b w:val="0"/>
          <w:color w:val="4A4A49"/>
          <w:sz w:val="22"/>
        </w:rPr>
        <w:t>Fuera de la lamina (habla de la practica): Si el bloque 0 no alcanza el tiempo, la alternativa es abrir directamente la pregunta 1 de la clase, que ya trae la base sembrada, y correr los bloques 1 y 2 ahi.</w:t>
      </w:r>
    </w:p>
    <w:p>
      <w:r>
        <w:rPr>
          <w:b/>
          <w:color w:val="4A4A49"/>
          <w:sz w:val="22"/>
        </w:rPr>
        <w:t>[Slide 36] La demo, en el orden en que se proyecta (2/2)</w:t>
      </w:r>
      <w:r>
        <w:rPr>
          <w:b w:val="0"/>
          <w:color w:val="4A4A49"/>
          <w:sz w:val="22"/>
        </w:rPr>
        <w:t xml:space="preserve"> — 4 vinetas.</w:t>
      </w:r>
    </w:p>
    <w:p>
      <w:r>
        <w:rPr>
          <w:b/>
          <w:color w:val="4A4A49"/>
          <w:sz w:val="22"/>
        </w:rPr>
        <w:t>[Slide 37] Donde corre esto, y que no se puede medir aqui</w:t>
      </w:r>
      <w:r>
        <w:rPr>
          <w:b w:val="0"/>
          <w:color w:val="4A4A49"/>
          <w:sz w:val="22"/>
        </w:rPr>
        <w:t xml:space="preserve"> — 4 vinetas.</w:t>
      </w:r>
    </w:p>
    <w:p>
      <w:pPr>
        <w:pStyle w:val="ListBullet2"/>
      </w:pPr>
      <w:r>
        <w:rPr>
          <w:b w:val="0"/>
          <w:color w:val="4A4A49"/>
          <w:sz w:val="22"/>
        </w:rPr>
        <w:t>Ahi corre la demo.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Fuera de la lamina (habla de la practica): Ahi corre la demo, ahi se resuelve el taller y ahi se califica, asi que no hay razon para trabajar en otro sitio.</w:t>
      </w:r>
    </w:p>
    <w:p>
      <w:pPr>
        <w:pStyle w:val="ListBullet2"/>
      </w:pPr>
      <w:r>
        <w:rPr>
          <w:b w:val="0"/>
          <w:color w:val="4A4A49"/>
          <w:sz w:val="22"/>
        </w:rPr>
        <w:t>Fuera de la lamina (habla de la practica): En particular DB Fiddle queda fuera, aunque tambien tenga PostgreSQL, por un motivo concreto: la base sembrada con las 30.010 citas no existe alli, y sin ella no se puede reproducir ni el cambio de plan ni las 91 filas que la rubrica menciona.</w:t>
      </w:r>
    </w:p>
    <w:p>
      <w:pPr>
        <w:pStyle w:val="ListBullet2"/>
      </w:pPr>
      <w:r>
        <w:rPr>
          <w:b w:val="0"/>
          <w:color w:val="4A4A49"/>
          <w:sz w:val="22"/>
        </w:rPr>
        <w:t>Fuera de la lamina (habla de la practica): Un alterno que cuesta puntos no es un alterno.</w:t>
      </w:r>
    </w:p>
    <w:p>
      <w:pPr>
        <w:pStyle w:val="ListBullet2"/>
      </w:pPr>
      <w:r>
        <w:rPr>
          <w:b w:val="0"/>
          <w:color w:val="4A4A49"/>
          <w:sz w:val="22"/>
        </w:rPr>
        <w:t>Fuera de la lamina (habla de la practica): Google Docs se usa para la tabla de justificacion de la pregunta 5, que es prosa y no SQL.</w:t>
      </w:r>
    </w:p>
    <w:p>
      <w:pPr>
        <w:pStyle w:val="ListBullet2"/>
      </w:pPr>
      <w:r>
        <w:rPr>
          <w:b w:val="0"/>
          <w:color w:val="4A4A49"/>
          <w:sz w:val="22"/>
        </w:rPr>
        <w:t>Fuera de la lamina (habla de la practica): Esa lista de limites es la seccion 5 de la pregunta 5 y vale puntos: se pierde por omitirla, no por tenerla.</w:t>
      </w:r>
    </w:p>
    <w:p>
      <w:r>
        <w:rPr>
          <w:b/>
          <w:color w:val="4A4A49"/>
          <w:sz w:val="22"/>
        </w:rPr>
        <w:t>[Slide 38] Preguntas frecuentes del grupo (1/2)</w:t>
      </w:r>
      <w:r>
        <w:rPr>
          <w:b w:val="0"/>
          <w:color w:val="4A4A49"/>
          <w:sz w:val="22"/>
        </w:rPr>
        <w:t xml:space="preserve"> — 4 vinetas.</w:t>
      </w:r>
    </w:p>
    <w:p>
      <w:pPr>
        <w:pStyle w:val="ListBullet2"/>
      </w:pPr>
      <w:r>
        <w:rPr>
          <w:b w:val="0"/>
          <w:color w:val="4A4A49"/>
          <w:sz w:val="22"/>
        </w:rPr>
        <w:t>Si todas las consultas del proyecto filtran por PROGRAMADA, entonces si sobra el completo.</w:t>
      </w:r>
    </w:p>
    <w:p>
      <w:pPr>
        <w:pStyle w:val="ListBullet2"/>
      </w:pPr>
      <w:r>
        <w:rPr>
          <w:b w:val="0"/>
          <w:color w:val="4A4A49"/>
          <w:sz w:val="22"/>
        </w:rPr>
        <w:t>No, porque hace falta la linea base con Seq Scan; sin el antes, el despues no demuestra nada.</w:t>
      </w:r>
    </w:p>
    <w:p>
      <w:pPr>
        <w:pStyle w:val="ListBullet2"/>
      </w:pPr>
      <w:r>
        <w:rPr>
          <w:b w:val="0"/>
          <w:color w:val="4A4A49"/>
          <w:sz w:val="22"/>
        </w:rPr>
        <w:t>Fuera de la lamina (habla de la practica): Porque el archivado no tiene alternativa —DROP TABLE de una particion contra un DELETE de millones de filas— y porque son 20 puntos de la actividad, que se califican sobre SQL ejecutado y no sobre una explicacion.</w:t>
      </w:r>
    </w:p>
    <w:p>
      <w:pPr>
        <w:pStyle w:val="ListBullet2"/>
      </w:pPr>
      <w:r>
        <w:rPr>
          <w:b w:val="0"/>
          <w:color w:val="4A4A49"/>
          <w:sz w:val="22"/>
        </w:rPr>
        <w:t>Fuera de la lamina (habla de la practica): Si todas las consultas del proyecto filtran por PROGRAMADA, entonces si sobra el completo, y decirlo asi en la columna de veredicto es la respuesta que la rubrica busca.</w:t>
      </w:r>
    </w:p>
    <w:p>
      <w:pPr>
        <w:pStyle w:val="ListBullet2"/>
      </w:pPr>
      <w:r>
        <w:rPr>
          <w:b w:val="0"/>
          <w:color w:val="4A4A49"/>
          <w:sz w:val="22"/>
        </w:rPr>
        <w:t>Fuera de la lamina (habla de la practica): No, porque hace falta la linea base con Seq Scan; sin el antes, el despues no demuestra nada, y es la primera cosa que la rubrica revisa.</w:t>
      </w:r>
    </w:p>
    <w:p>
      <w:r>
        <w:rPr>
          <w:b/>
          <w:color w:val="4A4A49"/>
          <w:sz w:val="22"/>
        </w:rPr>
        <w:t>[Slide 39] Preguntas frecuentes del grupo (2/2)</w:t>
      </w:r>
      <w:r>
        <w:rPr>
          <w:b w:val="0"/>
          <w:color w:val="4A4A49"/>
          <w:sz w:val="22"/>
        </w:rPr>
        <w:t xml:space="preserve"> — 5 vinetas.</w:t>
      </w:r>
    </w:p>
    <w:p>
      <w:r>
        <w:rPr>
          <w:b/>
          <w:color w:val="4A4A49"/>
          <w:sz w:val="22"/>
        </w:rPr>
        <w:t>[Slide 40] Crear el indice y probar que se usa</w:t>
      </w:r>
      <w:r>
        <w:rPr>
          <w:b w:val="0"/>
          <w:color w:val="4A4A49"/>
          <w:sz w:val="22"/>
        </w:rPr>
        <w:t xml:space="preserve"> — 11 vinetas.</w:t>
      </w:r>
    </w:p>
    <w:p>
      <w:r>
        <w:rPr>
          <w:b/>
          <w:color w:val="4A4A49"/>
          <w:sz w:val="22"/>
        </w:rPr>
        <w:t>[Slide 41] El orden de columnas en un indice compuesto</w:t>
      </w:r>
      <w:r>
        <w:rPr>
          <w:b w:val="0"/>
          <w:color w:val="4A4A49"/>
          <w:sz w:val="22"/>
        </w:rPr>
        <w:t xml:space="preserve"> — 10 vinetas.</w:t>
      </w:r>
    </w:p>
    <w:p>
      <w:r>
        <w:rPr>
          <w:b/>
          <w:color w:val="4A4A49"/>
          <w:sz w:val="22"/>
        </w:rPr>
        <w:t>[Slide 42] Particionar el historico por rango de fecha</w:t>
      </w:r>
      <w:r>
        <w:rPr>
          <w:b w:val="0"/>
          <w:color w:val="4A4A49"/>
          <w:sz w:val="22"/>
        </w:rPr>
        <w:t xml:space="preserve"> — 14 vinetas.</w:t>
      </w:r>
    </w:p>
    <w:p>
      <w:r>
        <w:rPr>
          <w:b/>
          <w:color w:val="4A4A49"/>
          <w:sz w:val="22"/>
        </w:rPr>
        <w:t>[Slide 43] El costo de sobre-indexar, que casi nunca se menciona</w:t>
      </w:r>
      <w:r>
        <w:rPr>
          <w:b w:val="0"/>
          <w:color w:val="4A4A49"/>
          <w:sz w:val="22"/>
        </w:rPr>
        <w:t xml:space="preserve"> — 11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la clínica</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(1/2)</w:t>
      </w:r>
    </w:p>
    <w:p>
      <w:pPr>
        <w:pStyle w:val="ListNumber"/>
      </w:pPr>
      <w:r>
        <w:rPr>
          <w:b w:val="0"/>
          <w:color w:val="4A4A49"/>
          <w:sz w:val="22"/>
        </w:rPr>
        <w:t>El precio se paga en cada escritura, y se cuantifica (2/2)</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indices, y la consulta que justifica cada uno (1/2)</w:t>
      </w:r>
    </w:p>
    <w:p>
      <w:pPr>
        <w:pStyle w:val="ListNumber"/>
      </w:pPr>
      <w:r>
        <w:rPr>
          <w:b w:val="0"/>
          <w:color w:val="4A4A49"/>
          <w:sz w:val="22"/>
        </w:rPr>
        <w:t>Los cinco indices, y la consulta que justifica cada uno (2/2)</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(1/2)</w:t>
      </w:r>
    </w:p>
    <w:p>
      <w:pPr>
        <w:pStyle w:val="ListNumber"/>
      </w:pPr>
      <w:r>
        <w:rPr>
          <w:b w:val="0"/>
          <w:color w:val="4A4A49"/>
          <w:sz w:val="22"/>
        </w:rPr>
        <w:t>El veredicto de particionamiento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Crear el indice y probar que se usa</w:t>
      </w:r>
    </w:p>
    <w:p>
      <w:pPr>
        <w:pStyle w:val="ListNumber"/>
      </w:pPr>
      <w:r>
        <w:rPr>
          <w:b w:val="0"/>
          <w:color w:val="4A4A49"/>
          <w:sz w:val="22"/>
        </w:rPr>
        <w:t>El orden de columnas en un indice compuesto</w:t>
      </w:r>
    </w:p>
    <w:p>
      <w:pPr>
        <w:pStyle w:val="ListNumber"/>
      </w:pPr>
      <w:r>
        <w:rPr>
          <w:b w:val="0"/>
          <w:color w:val="4A4A49"/>
          <w:sz w:val="22"/>
        </w:rPr>
        <w:t>Particionar el historico por rango de fecha</w:t>
      </w:r>
    </w:p>
    <w:p>
      <w:pPr>
        <w:pStyle w:val="ListNumber"/>
      </w:pPr>
      <w:r>
        <w:rPr>
          <w:b w:val="0"/>
          <w:color w:val="4A4A49"/>
          <w:sz w:val="22"/>
        </w:rPr>
        <w:t>El costo de sobre-indexar, que casi nunca se menciona</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Indices y particionamiento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48]</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7 - Indices y particionamiento/Taller PI - Clase 7 -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3 indices justificados (uno parcial) + historico particionado por ano</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49]</w:t>
      </w:r>
    </w:p>
    <w:p>
      <w:r>
        <w:rPr>
          <w:b/>
          <w:color w:val="4A4A49"/>
          <w:sz w:val="22"/>
        </w:rPr>
        <w:t>Decir:</w:t>
      </w:r>
      <w:r>
        <w:rPr>
          <w:b w:val="0"/>
          <w:color w:val="4A4A49"/>
          <w:sz w:val="22"/>
        </w:rPr>
        <w:t xml:space="preserve"> «Queda visto: Indices y particionamiento · VetCare. Si hicimos la practica, la guia y la entrega estan en la carpeta de la clase.»</w:t>
      </w:r>
    </w:p>
    <w:p>
      <w:r>
        <w:rPr>
          <w:b w:val="0"/>
          <w:color w:val="4A4A49"/>
          <w:sz w:val="22"/>
        </w:rPr>
        <w:t>Proyectar [Slide 49]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enganche de la Clase 6: se proyecta un plan con Seq Scan y se anuncia que hoy esa linea cambia. Del 10 al 30, la teoria core: que es un indice, el B-Tree y el precio en cada escritura. Del 30 al 45, la diapositiva de justificacion, el prefijo izquierdo y las razones por las que un indice no se usa. Del 45 al 60, los cinco nombres y la secuencia de medicion, con la demo del bloque 2 en vivo: es el corazon de la sesion y no se debe recortar. Del 60 al 70, el indice parcial con sus numeros. Del 70 al 80, el particionamiento con el DDL y la trampa de la clave primaria. Del 80 al 115, el taller, que son 100 puntos en cinco preguntas: se abre ExamLab y se resuelve la pregunta 1 acompanada, en voz alta, hasta que aparezca el primer Index Scan del grupo, y las cuatro restantes de forma individual. Del 115 al 120, cierre y el amarre con la Clase 8. Tres avisos para el acompanamiento. Uno, el error mas frecuente no es conceptual sino de nombre: conviene proyectar los cinco nombres y dejarlos en pantalla mientras el grupo trabaja. Dos, cuando alguien diga que su indice no sirvio, la primera pregunta es si corrio el ANALYZE, no si el indice esta bien pensado. Tres, la pregunta 5 no es un relleno de cierre: son 20 puntos, la tabla tiene siete columnas y quien la deje para el ultimo minuto entrega tres columnas de siete. Vale la pena anunciar a mitad del taller que faltan 15 minutos y que la tabla de justificacion todavia no esta escrita.</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