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40" w:lineRule="auto"/>
        <w:jc w:val="center"/>
      </w:pPr>
      <w:r>
        <w:rPr>
          <w:rFonts w:ascii="Calibri" w:hAnsi="Calibri" w:eastAsia="Calibri"/>
          <w:b/>
          <w:color w:val="095292"/>
          <w:sz w:val="20"/>
        </w:rPr>
        <w:t>Institución Universitaria Antonio José Camacho — UNIAJC</w:t>
      </w:r>
    </w:p>
    <w:p>
      <w:pPr>
        <w:spacing w:after="200" w:before="0" w:line="240" w:lineRule="auto"/>
        <w:jc w:val="center"/>
      </w:pPr>
      <w:r>
        <w:rPr>
          <w:rFonts w:ascii="Calibri" w:hAnsi="Calibri" w:eastAsia="Calibri"/>
          <w:b w:val="0"/>
          <w:color w:val="2B2B2B"/>
          <w:sz w:val="20"/>
        </w:rPr>
        <w:t>Facultad de Ingenierías · Programa de Ingeniería de Sistemas</w:t>
      </w:r>
    </w:p>
    <w:p>
      <w:pPr>
        <w:spacing w:after="200" w:before="240" w:line="240" w:lineRule="auto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Parcial 3 — Integración, casos y cierre de proyecto — SOLUCIÓN / CLAVE</w:t>
      </w:r>
    </w:p>
    <w:p>
      <w:pPr>
        <w:spacing w:after="120" w:before="160" w:line="240" w:lineRule="auto"/>
        <w:jc w:val="center"/>
      </w:pPr>
      <w:r>
        <w:rPr>
          <w:rFonts w:ascii="Calibri" w:hAnsi="Calibri" w:eastAsia="Calibri"/>
          <w:b/>
          <w:color w:val="095292"/>
          <w:sz w:val="28"/>
        </w:rPr>
        <w:t>Bases de Datos II</w:t>
      </w:r>
    </w:p>
    <w:p>
      <w:pPr>
        <w:spacing w:after="120" w:before="0" w:line="240" w:lineRule="auto"/>
        <w:jc w:val="center"/>
      </w:pPr>
      <w:r>
        <w:rPr>
          <w:rFonts w:ascii="Calibri" w:hAnsi="Calibri" w:eastAsia="Calibri"/>
          <w:b/>
          <w:color w:val="2B2B2B"/>
          <w:sz w:val="22"/>
        </w:rPr>
        <w:t>Código FI303215  ·  Grupo 641A-2  ·  Periodo 2026-2</w:t>
      </w:r>
    </w:p>
    <w:p>
      <w:pPr>
        <w:spacing w:after="120" w:before="0" w:line="240" w:lineRule="auto"/>
        <w:jc w:val="center"/>
      </w:pPr>
      <w:r>
        <w:rPr>
          <w:rFonts w:ascii="Calibri" w:hAnsi="Calibri" w:eastAsia="Calibri"/>
          <w:b w:val="0"/>
          <w:color w:val="2B2B2B"/>
          <w:sz w:val="22"/>
        </w:rPr>
        <w:t>Parcial 3 — Corte 3  ·  Valor en el corte: 15% del Corte 3 (40%)</w:t>
      </w:r>
    </w:p>
    <w:p>
      <w:pPr>
        <w:spacing w:after="120" w:before="0" w:line="240" w:lineRule="auto"/>
        <w:jc w:val="center"/>
      </w:pPr>
      <w:r>
        <w:rPr>
          <w:rFonts w:ascii="Calibri" w:hAnsi="Calibri" w:eastAsia="Calibri"/>
          <w:b w:val="0"/>
          <w:color w:val="2B2B2B"/>
          <w:sz w:val="22"/>
        </w:rPr>
        <w:t>Fecha: 09/11/2026  ·  Sesión 12 de 13  ·  Modalidad: virtual síncrona por Google Meet</w:t>
      </w:r>
    </w:p>
    <w:p>
      <w:pPr>
        <w:spacing w:after="120" w:before="0" w:line="240" w:lineRule="auto"/>
        <w:jc w:val="center"/>
      </w:pPr>
      <w:r>
        <w:rPr>
          <w:rFonts w:ascii="Calibri" w:hAnsi="Calibri" w:eastAsia="Calibri"/>
          <w:b w:val="0"/>
          <w:color w:val="2B2B2B"/>
          <w:sz w:val="22"/>
        </w:rPr>
        <w:t>Horario del bloque: Lunes 18:00 – 20:00  ·  Tiempo sugerido: 90–100 minutos</w:t>
      </w:r>
    </w:p>
    <w:p>
      <w:pPr>
        <w:spacing w:after="160" w:before="0" w:line="240" w:lineRule="auto"/>
        <w:jc w:val="center"/>
      </w:pPr>
      <w:r>
        <w:rPr>
          <w:rFonts w:ascii="Calibri" w:hAnsi="Calibri" w:eastAsia="Calibri"/>
          <w:b w:val="0"/>
          <w:color w:val="2B2B2B"/>
          <w:sz w:val="20"/>
        </w:rPr>
        <w:t>Docente: Julian Andres Castaño Espinosa  ·  julianacastano@profesores.uniajc.edu.co</w:t>
      </w:r>
    </w:p>
    <w:p>
      <w:pPr>
        <w:spacing w:after="200" w:before="0" w:line="240" w:lineRule="auto"/>
        <w:jc w:val="center"/>
        <w:shd w:val="clear" w:fill="FBE4E4"/>
      </w:pPr>
      <w:r>
        <w:rPr>
          <w:rFonts w:ascii="Calibri" w:hAnsi="Calibri" w:eastAsia="Calibri"/>
          <w:b/>
          <w:color w:val="A02030"/>
          <w:sz w:val="20"/>
        </w:rPr>
        <w:t>DOCUMENTO DOCENTE — No distribuir a estudiantes. Incluye clave y rúbrica breve.</w:t>
      </w:r>
    </w:p>
    <w:p>
      <w:pPr>
        <w:spacing w:after="120" w:before="240" w:line="240" w:lineRule="auto"/>
        <w:jc w:val="left"/>
      </w:pPr>
      <w:r>
        <w:rPr>
          <w:rFonts w:ascii="Calibri" w:hAnsi="Calibri" w:eastAsia="Calibri"/>
          <w:b/>
          <w:color w:val="095292"/>
          <w:sz w:val="24"/>
        </w:rPr>
        <w:t>Temas evaluados en este parcial (Plan de curso 2026-2)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Corte 3 (Sesiones 10-13) · Únicamente clases dictadas antes del 09/11/2026 (Clases 11, 12 y 13 del material; la sesión doble del 26/10 cubrió las Clases 11 y 12 y la sesión autónoma del 02/11 fue la Clase 13). La Clase 14 es la sesión del parcial y la Clase 15 (16/11) es la sustentación del Proyecto Integrador, posterior: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Lista explícita de temas evaluados (solo estos; no se preguntan temas de otros cortes):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Clase 11 · 26/10 · Avance del proyecto final (sesión doble)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Clase 12 · 26/10 · Integración de aplicaciones externas · Preparación de presentación final (sesión doble)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Clase 13 · 02/11 · Análisis de casos reales (sesión autónoma)</w:t>
      </w:r>
    </w:p>
    <w:p>
      <w:pPr>
        <w:spacing w:after="120" w:before="240" w:line="240" w:lineRule="auto"/>
        <w:jc w:val="left"/>
      </w:pPr>
      <w:r>
        <w:rPr>
          <w:rFonts w:ascii="Calibri" w:hAnsi="Calibri" w:eastAsia="Calibri"/>
          <w:b/>
          <w:color w:val="095292"/>
          <w:sz w:val="24"/>
        </w:rPr>
        <w:t>Instrucciones generales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Lea con atención cada sección antes de responder. Responda en este mismo documento, sobre las líneas marcadas, y entréguelo por el medio que el docente indique al abrir la sesión.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parcial se califica sobre 100 puntos. Nota sobre 5.0 = (puntos obtenidos / 100) × 5.0.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Es individual: no se permite consultar con otras personas ni compartir respuestas. El material de apoyo autorizado es el que el docente indique al abrir la sesión.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Justifique las respuestas de desarrollo. En ejercicios de código o SQL, la claridad y la corrección cuentan.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Este parcial evalúa únicamente los temas del corte indicado. El desglose del Acuerdo (30%/30%/40%) se aplica a nivel de corte, no dentro de este documento.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Duración sugerida: 90–100 minutos dentro del bloque de 120 minutos.</w:t>
      </w:r>
    </w:p>
    <w:p>
      <w:pPr>
        <w:spacing w:after="120" w:before="240" w:line="240" w:lineRule="auto"/>
        <w:jc w:val="left"/>
      </w:pPr>
      <w:r>
        <w:rPr>
          <w:rFonts w:ascii="Calibri" w:hAnsi="Calibri" w:eastAsia="Calibri"/>
          <w:b/>
          <w:color w:val="095292"/>
          <w:sz w:val="24"/>
        </w:rPr>
        <w:t>Distribución de puntaje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A. Selección múltiple — 20 pts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B. Verdadero / Falso — 20 pts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C. Integración de aplicaciones — 25 pts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D. Caso / preparación de sustentación BD — 35 pts</w:t>
      </w:r>
    </w:p>
    <w:p>
      <w:pPr>
        <w:spacing w:after="20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Total: 100 puntos  →  Nota = puntos/20 sobre 5.0</w:t>
      </w:r>
    </w:p>
    <w:p>
      <w:pPr>
        <w:spacing w:after="200" w:before="240" w:line="240" w:lineRule="auto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SECCIÓN A — Selección múltiple  (20 puntos)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A1. (5 pts) Integrar una aplicación externa con la BD típicamente requiere: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a) Ignorar autenticación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b) Contratos de acceso (API/SQL), credenciales seguras y manejo de errores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c) Desactivar todas las FK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d) Usar solo archivos Excel locales sin control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/>
          <w:color w:val="095292"/>
          <w:sz w:val="20"/>
        </w:rPr>
        <w:t xml:space="preserve">    → Clave: b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A2. (5 pts) Un anti-patrón al integrar apps con BD es: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a) Usar cuentas con privilegios mínimos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b) Escribir contraseñas dentro del código fuente público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c) Parametrizar consultas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d) Monitorear fallos de conexión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/>
          <w:color w:val="095292"/>
          <w:sz w:val="20"/>
        </w:rPr>
        <w:t xml:space="preserve">    → Clave: b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A3. (5 pts) En el análisis de casos reales de BD se busca: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a) Copiar sin comprender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b) Extraer lecciones de arquitectura, rendimiento, seguridad o fallos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c) Evitar documentar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d) Eliminar el modelo relacional siempre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/>
          <w:color w:val="095292"/>
          <w:sz w:val="20"/>
        </w:rPr>
        <w:t xml:space="preserve">    → Clave: b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A4. (5 pts) Para la preparación de la presentación final del proyecto de BD II es clave mostrar: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a) Solo capturas sin explicar el avance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b) Avance del PI, integración con apps, lecciones de casos y guion de sustentación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c) Únicamente el logo del SGBD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d) Código ofuscado sin demo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/>
          <w:color w:val="095292"/>
          <w:sz w:val="20"/>
        </w:rPr>
        <w:t xml:space="preserve">    → Clave: b</w:t>
      </w:r>
    </w:p>
    <w:p>
      <w:pPr>
        <w:spacing w:after="200" w:before="240" w:line="240" w:lineRule="auto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SECCIÓN B — Verdadero / Falso  (20 puntos)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B1. (5 pts) Una API que consume la BD debe validar entradas para reducir inyección SQL y datos inválidos.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/>
          <w:color w:val="095292"/>
          <w:sz w:val="20"/>
        </w:rPr>
        <w:t xml:space="preserve">    → Clave: V — Seguridad en integración.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B2. (5 pts) La integración externa nunca necesita considerar transacciones o consistencia.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/>
          <w:color w:val="095292"/>
          <w:sz w:val="20"/>
        </w:rPr>
        <w:t xml:space="preserve">    → Clave: F — La consistencia sigue siendo crítica en integraciones.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B3. (5 pts) Documentar supuestos y limitaciones fortalece la sustentación del proyecto.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/>
          <w:color w:val="095292"/>
          <w:sz w:val="20"/>
        </w:rPr>
        <w:t xml:space="preserve">    → Clave: V — Transparencia académica/profesional.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B4. (5 pts) Un avance de proyecto final debería alinear entregables con la integración, análisis de casos y la preparación de la sustentación del corte.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/>
          <w:color w:val="095292"/>
          <w:sz w:val="20"/>
        </w:rPr>
        <w:t xml:space="preserve">    → Clave: V — Trazabilidad con Clases 11–13 del Corte 3.</w:t>
      </w:r>
    </w:p>
    <w:p>
      <w:pPr>
        <w:spacing w:after="200" w:before="240" w:line="240" w:lineRule="auto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SECCIÓN C — Integración  (25 puntos)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C1. (25 pts) Diseñe la integración de una app web/móvil con su BD del proyecto: componentes, flujo de autenticación a BD (o vía API), y 3 fallos a manejar (timeout, dato duplicado, permiso denegado).</w:t>
      </w:r>
    </w:p>
    <w:p>
      <w:pPr>
        <w:spacing w:after="80" w:before="160" w:line="240" w:lineRule="auto"/>
        <w:jc w:val="left"/>
      </w:pPr>
      <w:r>
        <w:rPr>
          <w:rFonts w:ascii="Calibri" w:hAnsi="Calibri" w:eastAsia="Calibri"/>
          <w:b/>
          <w:color w:val="269CCB"/>
          <w:sz w:val="22"/>
        </w:rPr>
        <w:t>Respuesta esperada / rúbrica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App → API → BD; pool conexiones; errores mapeados a mensajes.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Rúbrica: arquitectura 10 + auth/acceso 7 + fallos 8.</w:t>
      </w:r>
    </w:p>
    <w:p>
      <w:pPr>
        <w:spacing w:after="200" w:before="240" w:line="240" w:lineRule="auto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SECCIÓN D — Caso / sustentación  (35 puntos)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D1. (35 pts) Prepare un esquema de presentación final (guion) de su proyecto de BD II: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a) Problema y objetivos del PI (5 pts)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b) Estado de avance y entregables listos / pendientes (10 pts)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c) Diseño de integración con aplicación externa (API/SQL, credenciales, errores) (10 pts)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d) Una lección de un caso real aplicable a su proyecto (5 pts)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e) Guion de presentación (orden de láminas / demo) (5 pts)</w:t>
      </w:r>
    </w:p>
    <w:p>
      <w:pPr>
        <w:spacing w:after="80" w:before="160" w:line="240" w:lineRule="auto"/>
        <w:jc w:val="left"/>
      </w:pPr>
      <w:r>
        <w:rPr>
          <w:rFonts w:ascii="Calibri" w:hAnsi="Calibri" w:eastAsia="Calibri"/>
          <w:b/>
          <w:color w:val="269CCB"/>
          <w:sz w:val="22"/>
        </w:rPr>
        <w:t>Solución / rúbrica breve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Evaluar completitud y coherencia con temas del Corte 3 (avance, integración, casos, prep.); pts según rúbrica.</w:t>
      </w:r>
    </w:p>
    <w:p>
      <w:pPr>
        <w:spacing w:after="120" w:before="320" w:line="240" w:lineRule="auto"/>
        <w:jc w:val="center"/>
      </w:pPr>
      <w:r>
        <w:rPr>
          <w:rFonts w:ascii="Calibri" w:hAnsi="Calibri" w:eastAsia="Calibri"/>
          <w:b w:val="0"/>
          <w:color w:val="269CCB"/>
          <w:sz w:val="18"/>
        </w:rPr>
        <w:t>Fin del parcial — UNIAJC 2026-2 · Julian Andres Castaño · julianacastano@profesores.uniajc.edu.co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