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9 · Casos de uso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Cual de los siguientes es un caso de uso valido para VetCare?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Validar el campo especie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Registrar mascota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Tabla mascota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Dar clic en el boton Guardar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Para que sirve el limite del sistema (el rectangulo) en un diagrama de casos de uso?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Para decorar el diagrama y que se vea ordenado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Para separar lo que el equipo va a construir de lo que solo se consume desde afuera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Para indicar el orden en que ocurren los casos de uso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Para agrupar las clases del diagrama de clases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En VetCare, despues de mostrar el expediente el veterinario a veces pide exportarlo a PDF y a veces no. Que relacion corresponde entre Buscar expediente y Exportar expediente a PDF?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include, porque la exportacion forma parte de la busqueda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extend, porque la exportacion es opcional y depende de una condicion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generalizacion, porque exportar es un tipo de busqueda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asociacion entre actores, porque intervienen dos roles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Que parte de la especificacion describe el estado en que queda el sistema cuando el caso de uso termina bien?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La precondicion, porque describe el estado inicial requerido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La postcondicion de exito, porque describe el estado final verificable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El flujo alterno, porque describe las desviaciones del camino feliz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La regla de negocio, porque restringe los datos del dominio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Un actor siempre representa a una persona concreta de la clinica Huellitas.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Los flujos alternos se numeran respecto al paso del flujo principal en el que se produce la desviacion, por ejemplo 2a o 4a.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Escriba la precondicion y la postcondicion de exito del caso de uso CU-02 Buscar expediente de VetCare.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Un compañero afirma que con el diagrama de figuras de actor y elipses ya quedo documentado el sistema VetCare. Que le responde usted y que le hace falta?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