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Proyecto Integrador 2026-2 — VetCare DB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8"/>
        </w:rPr>
        <w:t>Bases de Datos II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FI303215  ·  Grupo 641A-2  ·  Periodo 2026-2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Horario: Lunes 18:00–20:00 (120 min)  ·  Modalidad: Virtual (sesiones por Meet)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Entrega en ExamLab según hitos del plan.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Propósito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Diseñar, administrar y optimizar una base de datos relacional avanzada para VetCare DB, el sistema de la Clínica Veterinaria «Huellitas», integrando seguridad/respaldo, objetos programables (procedimientos, funciones y disparadores), optimización e integración conceptual con una aplicación externa. Hilo conductor ABPr del curso.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Peso: 20% del Corte 3 (Acuerdo pedagógico). El Parcial 3 (15%) y la asistencia (5%) se evalúan por separado.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Contexto del cliente y dominio — VetCare DB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La Clinica Veterinaria «Huellitas» atiende un alto volumen de pacientes y hoy lleva toda su gestion en carpetas de papel. La administracion reporta tres problemas: se extravian fichas de pacientes, buscar un historial en el archivo fisico genera filas en la sala de espera, y no hay metricas (no saben cuantas especies atienden al mes). Ustedes fueron contratados para resolverlo con un sistema llamado </w:t>
      </w:r>
      <w:r>
        <w:rPr>
          <w:rFonts w:ascii="Calibri" w:hAnsi="Calibri" w:eastAsia="Calibri"/>
          <w:b/>
          <w:color w:val="2B2B2B"/>
          <w:sz w:val="22"/>
        </w:rPr>
        <w:t>VetCare</w:t>
      </w:r>
      <w:r>
        <w:rPr>
          <w:rFonts w:ascii="Calibri" w:hAnsi="Calibri" w:eastAsia="Calibri"/>
          <w:b w:val="0"/>
          <w:color w:val="2B2B2B"/>
          <w:sz w:val="22"/>
        </w:rPr>
        <w:t>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2B2B2B"/>
          <w:sz w:val="22"/>
        </w:rPr>
        <w:t>Nomenclatura:</w:t>
      </w:r>
      <w:r>
        <w:rPr>
          <w:rFonts w:ascii="Calibri" w:hAnsi="Calibri" w:eastAsia="Calibri"/>
          <w:b w:val="0"/>
          <w:color w:val="2B2B2B"/>
          <w:sz w:val="22"/>
        </w:rPr>
        <w:t xml:space="preserve"> «Huellitas» es la clínica, es decir el cliente que tiene el problema; </w:t>
      </w:r>
      <w:r>
        <w:rPr>
          <w:rFonts w:ascii="Calibri" w:hAnsi="Calibri" w:eastAsia="Calibri"/>
          <w:b/>
          <w:color w:val="2B2B2B"/>
          <w:sz w:val="22"/>
        </w:rPr>
        <w:t>VetCare DB</w:t>
      </w:r>
      <w:r>
        <w:rPr>
          <w:rFonts w:ascii="Calibri" w:hAnsi="Calibri" w:eastAsia="Calibri"/>
          <w:b w:val="0"/>
          <w:color w:val="2B2B2B"/>
          <w:sz w:val="22"/>
        </w:rPr>
        <w:t xml:space="preserve"> es la base de datos que usted construye para ella. Los enunciados de los talleres en ExamLab usan estos mismos dos nombres.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/>
          <w:color w:val="2B2B2B"/>
          <w:sz w:val="22"/>
        </w:rPr>
        <w:t>Anexo obligatorio:</w:t>
      </w:r>
      <w:r>
        <w:rPr>
          <w:rFonts w:ascii="Calibri" w:hAnsi="Calibri" w:eastAsia="Calibri"/>
          <w:b w:val="0"/>
          <w:color w:val="2B2B2B"/>
          <w:sz w:val="22"/>
        </w:rPr>
        <w:t xml:space="preserve"> el caso completo —perfil de la clínica, las 8 entidades, las 3 reglas de negocio, el elenco de nombres y cómo crece la base durante el semestre— está en </w:t>
      </w:r>
      <w:r>
        <w:rPr>
          <w:rFonts w:ascii="Calibri" w:hAnsi="Calibri" w:eastAsia="Calibri"/>
          <w:b/>
          <w:color w:val="2B2B2B"/>
          <w:sz w:val="22"/>
        </w:rPr>
        <w:t>Anexo - Caso de estudio Clinica Huellitas</w:t>
      </w:r>
      <w:r>
        <w:rPr>
          <w:rFonts w:ascii="Calibri" w:hAnsi="Calibri" w:eastAsia="Calibri"/>
          <w:b w:val="0"/>
          <w:color w:val="2B2B2B"/>
          <w:sz w:val="22"/>
        </w:rPr>
        <w:t>, en esta misma carpeta. Téngalo a mano en todas las clases: los talleres se refieren a esos datos.</w:t>
      </w:r>
    </w:p>
    <w:p>
      <w:pPr>
        <w:spacing w:after="80" w:before="160"/>
        <w:jc w:val="left"/>
      </w:pPr>
      <w:r>
        <w:rPr>
          <w:rFonts w:ascii="Calibri" w:hAnsi="Calibri" w:eastAsia="Calibri"/>
          <w:b/>
          <w:color w:val="269CCB"/>
          <w:sz w:val="22"/>
        </w:rPr>
        <w:t>Qué le toca a Bases de Datos II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Usted modela y opera la </w:t>
      </w:r>
      <w:r>
        <w:rPr>
          <w:rFonts w:ascii="Calibri" w:hAnsi="Calibri" w:eastAsia="Calibri"/>
          <w:b/>
          <w:color w:val="2B2B2B"/>
          <w:sz w:val="22"/>
        </w:rPr>
        <w:t>capa de datos</w:t>
      </w:r>
      <w:r>
        <w:rPr>
          <w:rFonts w:ascii="Calibri" w:hAnsi="Calibri" w:eastAsia="Calibri"/>
          <w:b w:val="0"/>
          <w:color w:val="2B2B2B"/>
          <w:sz w:val="22"/>
        </w:rPr>
        <w:t xml:space="preserve"> de VetCare: mascotas, dueños, veterinarios, citas, historial clínico, insumos/medicamentos y facturación básica. No se exige la aplicación ni la interfaz gráfica: eso es el alcance de Programación II sobre el mismo cliente.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Entidades mínimas sugeridas: Dueño, Mascota, Veterinario, Cita, Consulta/Historial, Insumo/Medicamento, DetalleFactura (ajuste el modelo con justificación).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Reglas de negocio: no citar mascotas inactivas; stock de insumos no negativo; auditoría de cambios sensibles (precios, cancelaciones).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 ampliar el dominio con 1–2 módulos propios si mantiene coherencia.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Entregables obligatorios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Modelo de datos: diagrama ER (draw.io / diagrams.net o Excalidraw) + script DDL.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Administración y seguridad: roles/usuarios (o plan de privilegios), política de respaldo/recuperación documentada.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Objetos programables: ≥2 procedimientos, ≥1 función, ≥2 disparadores con casos de prueba.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Optimización: ≥2 consultas «antes/después» con justificación de índices o reescritura.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Integración: propuesta de cómo una app (API/cliente) consumiría la BD (contrato de operaciones + ejemplo SQL o pseudocódigo de llamada a procedimientos).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Informe breve (PDF o DOCX) + carpeta de scripts SQL + diagrama exportado (PNG/SVG).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Sustentación / presentación (5–8 min) en el cierre del PI.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Hitos y fechas orientativas (Plan 2026-2)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Hito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Sesión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entregar / hacer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Arranque (opcional)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Sesiones 1–5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ago–sep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Definir dominio, borrador ER y alcance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Construcción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Sesiones 6–9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sep–oct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DDL, seguridad, procs/triggers, tuning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Avance PI + integración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10 (doble · Clases 11+12)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26/10/2026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Demo parcial + checklist · contrato app ↔ BD y pruebas (cierre: domingo 01/11 23:59)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Casos reales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11 (autónoma · Clase 13)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02/11/2026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Aplicar el análisis de casos al PI (cierre: domingo 08/11 23:59)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Parcial 3 · paquete final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12 (Clase 14)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09/11/2026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Día de parcial = solo evaluación (virtual síncrona por Meet). El paquete final cierra el domingo 15/11 23:59; el ensayo y la preparación fueron en la Sesión 10 (Clase 12)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Sustentación / cierre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13 (Clase 15)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16/11/2026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Defensa en vivo del PI + cierre del curso</w:t>
            </w:r>
          </w:p>
        </w:tc>
      </w:tr>
    </w:tbl>
    <w:p>
      <w:pPr>
        <w:spacing w:after="80" w:before="0"/>
        <w:jc w:val="left"/>
      </w:pP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Nota: la sesión 13 (16/11) cae en festivo, pero por decisión docente es la sesión de sustentaciones: no es autónoma y no es parcial. El Parcial 3 es el 09/11 (sesión 12 · material Clase 14). El paquete final se sube a ExamLab antes del 16/11; ese día solo se defiende.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SQL: DB Fiddle, OneCompiler SQL, SQLTest.online o RunSQL.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Procedimientos / PL-SQL: Oracle Live SQL (cuenta free, sin tarjeta).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Diagramas: draw.io / diagrams.net · Excalidraw.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Entregas: Google Docs/Drive o Word Online → subir a ExamLab.</w:t>
      </w:r>
    </w:p>
    <w:p>
      <w:pPr>
        <w:spacing w:after="160" w:before="0"/>
        <w:jc w:val="left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No se exige instalar Oracle/MySQL/PostgreSQL/SQL Server ni Docker en el PC. No se pide cloud IaaS con tarjeta.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Criterios de evaluación (rúbrica resumida — 100 pts → 20% del corte)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Pts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Evidencia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Modelo + DDL coherente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ER + scripts ejecutables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Seguridad y respaldo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Roles/privilegios + plan backup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Procs / funciones / triggers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25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Código + pruebas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Optimización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Antes/después + justificación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Integración app ↔ BD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Contrato + ejemplos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Informe + sustentación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Claridad, demo, respuestas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Modalidad de trabajo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Individual por defecto: cada estudiante desarrolla y entrega su propio proyecto.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Opcional: el docente puede autorizar equipos de 2 o 3 integrantes.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Debes poder explicar cualquier parte en la sustentación (si hay equipo, cualquier integrante).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entrega en ExamLab es siempre individual, incluso si el artefacto se trabajó en equipo.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Qué NO es este proyecto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sustituye el Parcial 3 (evaluación síncrona por Meet del 09/11).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es una app GUI completa: el foco es la capa de datos avanzada.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se copia un enunciado de otra institución: el dominio es VetCare DB UNIAJC.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