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estudiante debe usar el disenador visual de NetBeans en esta clase: la ventana se escribe linea por linea para entender la jerarquia frame, panel y componente.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indexa los expedientes de VetCare en un HashMap con control de ID duplicado, cuenta razas distintas con HashSet y estrena la ventana Swing que consulta ese registro con un ActionListener limpio.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recorrido a la clave: `HashMap&lt;String, Expediente&gt;`.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`HashSet` de razas: el boolean que casi nadie usa.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primera ventana de VetCare, escrita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demo de los 5.000 expedientes.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estructura de datos y limpieza de la vista.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