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9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PRIVADO. No proyectar.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C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A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[OM] D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[OM] C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Porque la primera vez que se instala VetCare en la clínica el archivo no existe y eso no es un error: es el estado inicial normal. Si cargar() revienta, la aplicación no abre nunca y el usuario queda bloqueado sin poder registrar la primera mascota. Devolviendo una lista vacía la aplicación arranca, permite registrar y al cerrar crea el archivo por primera vez.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Incumplió dos reglas: aceptar solo código que uno pueda explicar línea por línea, y volver a ejecutar el flujo completo después de cada cambio para verificar que el comportamiento no cambió. Debió aplicar un cambio a la vez, leerlo y explicarlo, correr el ciclo registrar-guardar-cerrar-abrir comparando el archivo antes y después, y dejar en REFACTOR.md qué aceptó, qué rechazó y por qué.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