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la arquitectura, los requisitos y la interfaz del sistema VetCare para la clinica veterinaria «Huellitas». Su rol en esta asignatura es de </w:t>
      </w:r>
      <w:r>
        <w:rPr>
          <w:rFonts w:ascii="Calibri" w:hAnsi="Calibri" w:eastAsia="Calibri"/>
          <w:b/>
          <w:color w:val="2B2B2B"/>
          <w:sz w:val="22"/>
        </w:rPr>
        <w:t>analista funcional y arquitecto de software</w:t>
      </w:r>
      <w:r>
        <w:rPr>
          <w:rFonts w:ascii="Calibri" w:hAnsi="Calibri" w:eastAsia="Calibri"/>
          <w:b w:val="0"/>
          <w:color w:val="2B2B2B"/>
          <w:sz w:val="22"/>
        </w:rPr>
        <w:t>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Independencia curricular:</w:t>
      </w:r>
      <w:r>
        <w:rPr>
          <w:rFonts w:ascii="Calibri" w:hAnsi="Calibri" w:eastAsia="Calibri"/>
          <w:b w:val="0"/>
          <w:color w:val="2B2B2B"/>
          <w:sz w:val="22"/>
        </w:rPr>
        <w:t xml:space="preserve">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 y diagramas UML avanzados (clases + dinamico)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(si hay equipo autorizado, deben participar todos los integrantes).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sobre cualquier parte; con equipo, todos explican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Entrega en </w:t>
      </w:r>
      <w:r>
        <w:rPr>
          <w:rFonts w:ascii="Calibri" w:hAnsi="Calibri" w:eastAsia="Calibri"/>
          <w:b/>
          <w:color w:val="2B2B2B"/>
          <w:sz w:val="22"/>
        </w:rPr>
        <w:t>ExamLab</w:t>
      </w:r>
      <w:r>
        <w:rPr>
          <w:rFonts w:ascii="Calibri" w:hAnsi="Calibri" w:eastAsia="Calibri"/>
          <w:b w:val="0"/>
          <w:color w:val="2B2B2B"/>
          <w:sz w:val="22"/>
        </w:rPr>
        <w:t xml:space="preserve"> segun los hitos del plan. Envio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