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de aplicacion · Clase 10 · Parcial 2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del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 y solucion: </w:t>
      </w:r>
      <w:r>
        <w:rPr>
          <w:rFonts w:ascii="Consolas" w:hAnsi="Consolas"/>
          <w:b w:val="0"/>
          <w:i/>
          <w:color w:val="111111"/>
          <w:sz w:val="20"/>
        </w:rPr>
        <w:t>Parciales/Parcial 2 - Requerimientos UML y casos de uso.docx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 · </w:t>
      </w:r>
      <w:r>
        <w:rPr>
          <w:b/>
          <w:color w:val="4A4A49"/>
          <w:sz w:val="22"/>
        </w:rPr>
        <w:t>virtual sincrono por Meet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de 10 min; revision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Recoleccion y cierre.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+ parcial» el mismo dia.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solucion es privada: archivo </w:t>
      </w:r>
      <w:r>
        <w:rPr>
          <w:rFonts w:ascii="Consolas" w:hAnsi="Consolas"/>
          <w:b w:val="0"/>
          <w:color w:val="111111"/>
          <w:sz w:val="21"/>
        </w:rPr>
        <w:t>* - SOLUCION.docx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b w:val="0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El PI VetCare continua en la siguiente clase regular.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