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equipo lo registre como un trade-off consciente en su informe y no lo presente como microservicios puros. Fingir ortodoxia es peor que documentar una concesion.</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equipo dice que no encuentra riesgos, casi siempre es porque su diagrama tiene flechas sin protocolo: no sabe por donde puede romperse porque nunca definio como se comunican las piezas.</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equipos de dos o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equipo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r>
        <w:rPr>
          <w:b w:val="0"/>
          <w:color w:val="4A4A49"/>
          <w:sz w:val="22"/>
        </w:rPr>
        <w:t xml:space="preserve">Referencia de slides: </w:t>
      </w:r>
      <w:r>
        <w:rPr>
          <w:rFonts w:ascii="Consolas" w:hAnsi="Consolas"/>
          <w:color w:val="111111"/>
          <w:sz w:val="21"/>
        </w:rPr>
        <w:t>Clases/Clase 4 - Microservicios y arquitecturas distribuidas/Presentacion.pptx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Diagramar componentes/servicios de CloudLite y sus contratos.</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Abran draw.io y creen diagrama Containers/Componentes de CloudLite.</w:t>
      </w:r>
    </w:p>
    <w:p>
      <w:pPr>
        <w:pStyle w:val="ListNumber"/>
      </w:pPr>
      <w:r>
        <w:rPr>
          <w:b w:val="0"/>
          <w:color w:val="4A4A49"/>
          <w:sz w:val="22"/>
        </w:rPr>
        <w:t>Limiten a 2–5 servicios/contenedores lógicos justificados.</w:t>
      </w:r>
    </w:p>
    <w:p>
      <w:pPr>
        <w:pStyle w:val="ListNumber"/>
      </w:pPr>
      <w:r>
        <w:rPr>
          <w:b w:val="0"/>
          <w:color w:val="4A4A49"/>
          <w:sz w:val="22"/>
        </w:rPr>
        <w:t>Listen 3 contratos (quién llama a quién, verbo HTTP o evento).</w:t>
      </w:r>
    </w:p>
    <w:p>
      <w:pPr>
        <w:pStyle w:val="ListNumber"/>
      </w:pPr>
      <w:r>
        <w:rPr>
          <w:b w:val="0"/>
          <w:color w:val="4A4A49"/>
          <w:sz w:val="22"/>
        </w:rPr>
        <w:t>Exporten PNG + archivo .drawio al Drive/repo del PI.</w:t>
      </w:r>
    </w:p>
    <w:p>
      <w:pPr>
        <w:pStyle w:val="ListNumber"/>
      </w:pPr>
      <w:r>
        <w:rPr>
          <w:b w:val="0"/>
          <w:color w:val="4A4A49"/>
          <w:sz w:val="22"/>
        </w:rPr>
        <w:t>En el informe: sección «Arquitectura lógica» + riesgos de distribución.</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