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el equipo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equipo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equipo.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equipo llega al Parcial 2 repitiendo definiciones de memoria sin poder aplicarlas a un caso.</w:t>
      </w:r>
    </w:p>
    <w:p>
      <w:r>
        <w:rPr>
          <w:b w:val="0"/>
          <w:color w:val="4A4A49"/>
          <w:sz w:val="22"/>
        </w:rPr>
        <w:t xml:space="preserve">Referencia de slides: </w:t>
      </w:r>
      <w:r>
        <w:rPr>
          <w:rFonts w:ascii="Consolas" w:hAnsi="Consolas"/>
          <w:color w:val="111111"/>
          <w:sz w:val="21"/>
        </w:rPr>
        <w:t>Clases/Clase 6 - Seguridad en la nube/Presentacion.pptx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Modelo de amenazas mínimo + controles para CloudLite.</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Listen 5 amenazas STRIDE-lite aplicadas a su dominio.</w:t>
      </w:r>
    </w:p>
    <w:p>
      <w:pPr>
        <w:pStyle w:val="ListNumber"/>
      </w:pPr>
      <w:r>
        <w:rPr>
          <w:b w:val="0"/>
          <w:color w:val="4A4A49"/>
          <w:sz w:val="22"/>
        </w:rPr>
        <w:t>Para cada una: control + dónde se ve en el diagrama.</w:t>
      </w:r>
    </w:p>
    <w:p>
      <w:pPr>
        <w:pStyle w:val="ListNumber"/>
      </w:pPr>
      <w:r>
        <w:rPr>
          <w:b w:val="0"/>
          <w:color w:val="4A4A49"/>
          <w:sz w:val="22"/>
        </w:rPr>
        <w:t>Definan política de secretos del repo/Actions.</w:t>
      </w:r>
    </w:p>
    <w:p>
      <w:pPr>
        <w:pStyle w:val="ListNumber"/>
      </w:pPr>
      <w:r>
        <w:rPr>
          <w:b w:val="0"/>
          <w:color w:val="4A4A49"/>
          <w:sz w:val="22"/>
        </w:rPr>
        <w:t>Redacten sección Seguridad del informe PI (1–1.5 páginas).</w:t>
      </w:r>
    </w:p>
    <w:p>
      <w:pPr>
        <w:pStyle w:val="ListNumber"/>
      </w:pPr>
      <w:r>
        <w:rPr>
          <w:b w:val="0"/>
          <w:color w:val="4A4A49"/>
          <w:sz w:val="22"/>
        </w:rPr>
        <w:t>Entrega domingo 23:59 (avance PI).</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