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conecta con la Clase 3: cuando en Play with Docker se ejecuta un contenedor publicando un puerto, esa linea es la decision de que superficie queda expuesta, tema de la Clase 6.</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en la zona publica va unicamente el punto de entrada, el balanceador o proxy inverso; la aplicacion va en la zona privada; los datos van en una tercera zona que solo acepta conexiones desde la aplicacion. Llega la primera pregunta previsible: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w:t>
      </w:r>
    </w:p>
    <w:p>
      <w:r>
        <w:rPr>
          <w:b w:val="0"/>
          <w:color w:val="4A4A49"/>
          <w:sz w:val="22"/>
        </w:rPr>
        <w:t>El almacenamiento se decide por tipo de dato, y hay cuatro categorias que el docente debe distinguir. El de bloque es un disco crudo que el sistema operativo formatea y monta; se conecta a una sola instancia a la vez, es lo que hay debajo del volumen de un contenedor, y se mide en gigabytes y en IOPS, operaciones de lectura y escritura por segundo. El de archivos es un sistema de archivos compartido que varias instancias montan por red. El de objetos no tiene carpetas reales: es un espacio plano de contenedores llamados buckets donde cada objeto se guarda bajo una clave, se lee y escribe por HTTP y se reemplaza completo en vez de editarse por partes; es practicamente ilimitado, barato y accesible por URL. Y el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la eleccion.</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Eso es el almacenamiento primario mas secundario que pide el entregable.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w:t>
      </w:r>
    </w:p>
    <w:p>
      <w:r>
        <w:rPr>
          <w:b w:val="0"/>
          <w:color w:val="4A4A49"/>
          <w:sz w:val="22"/>
        </w:rPr>
        <w:t>Queda la trazabilidad, donde mas puntos se pierden: los nombres de las cajas del despliegue deben ser los mismos que los contenedores del C4 Containers de la Clase 4. Si alli el servicio se llamaba api-citas, hoy no puede aparecer como backend,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equipo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el equipo pierde la trazabilidad, que es el criterio con el que se calificara el paquete integrado de la Clase 11.</w:t>
      </w:r>
    </w:p>
    <w:p>
      <w:r>
        <w:rPr>
          <w:b w:val="0"/>
          <w:color w:val="4A4A49"/>
          <w:sz w:val="22"/>
        </w:rPr>
        <w:t xml:space="preserve">Referencia de slides: </w:t>
      </w:r>
      <w:r>
        <w:rPr>
          <w:rFonts w:ascii="Consolas" w:hAnsi="Consolas"/>
          <w:color w:val="111111"/>
          <w:sz w:val="21"/>
        </w:rPr>
        <w:t>Clases/Clase 7 - Redes y almacenamiento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Red lógica para el diagrama</w:t>
      </w:r>
    </w:p>
    <w:p>
      <w:pPr>
        <w:pStyle w:val="ListBullet"/>
      </w:pPr>
      <w:r>
        <w:rPr>
          <w:b w:val="0"/>
          <w:color w:val="4A4A49"/>
          <w:sz w:val="22"/>
        </w:rPr>
        <w:t>Almacenamiento</w:t>
      </w:r>
    </w:p>
    <w:p>
      <w:pPr>
        <w:pStyle w:val="ListBullet"/>
      </w:pPr>
      <w:r>
        <w:rPr>
          <w:b w:val="0"/>
          <w:color w:val="4A4A49"/>
          <w:sz w:val="22"/>
        </w:rPr>
        <w:t>Checklist del diagrama Deployment</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 xml:space="preserve">Narra los clics en voz alta. Si falla la red, proyecta las capturas de </w:t>
      </w:r>
      <w:r>
        <w:rPr>
          <w:rFonts w:ascii="Consolas" w:hAnsi="Consolas"/>
          <w:color w:val="111111"/>
          <w:sz w:val="21"/>
        </w:rPr>
        <w:t>Kit docente/Clase 7/Capturas/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Diagrama de despliegue: red, zonas, almacenamiento.</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Dibujen Deployment en draw.io (zonas pública/privada/datos).</w:t>
      </w:r>
    </w:p>
    <w:p>
      <w:pPr>
        <w:pStyle w:val="ListNumber"/>
      </w:pPr>
      <w:r>
        <w:rPr>
          <w:b w:val="0"/>
          <w:color w:val="4A4A49"/>
          <w:sz w:val="22"/>
        </w:rPr>
        <w:t>Etiqueten puertos y tipo de storage por componente.</w:t>
      </w:r>
    </w:p>
    <w:p>
      <w:pPr>
        <w:pStyle w:val="ListNumber"/>
      </w:pPr>
      <w:r>
        <w:rPr>
          <w:b w:val="0"/>
          <w:color w:val="4A4A49"/>
          <w:sz w:val="22"/>
        </w:rPr>
        <w:t>Alineen nombres con el diagrama C4 de Clase 4.</w:t>
      </w:r>
    </w:p>
    <w:p>
      <w:pPr>
        <w:pStyle w:val="ListNumber"/>
      </w:pPr>
      <w:r>
        <w:rPr>
          <w:b w:val="0"/>
          <w:color w:val="4A4A49"/>
          <w:sz w:val="22"/>
        </w:rPr>
        <w:t>Actualicen informe: sección Redes y almacenamiento.</w:t>
      </w:r>
    </w:p>
    <w:p>
      <w:pPr>
        <w:pStyle w:val="ListNumber"/>
      </w:pPr>
      <w:r>
        <w:rPr>
          <w:b w:val="0"/>
          <w:color w:val="4A4A49"/>
          <w:sz w:val="22"/>
        </w:rPr>
        <w:t>Entrega domingo 23:59.</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