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es autonoma: no hay encuentro sincronico y el estudiante trabaja solo con este material, por lo que el texto debe bastar por si mismo y conviene publicarlo tal cual como lectura guiada, junto con la instruccion del entregable. El punto de partida es lo definido en la Clase 1: cada equipo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equipo se compromete a administrar el sistema operativo donde corren la API y la base de datos; en un curso de doce semanas con dos o tres integrantes,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equipo de tres personas, doce semanas, sin presupuesto ni tarjeta de credito, y se requiere que el sistema este disponible el dia de la sustentacion. En opciones: IaaS con maquina virtual propia, descartada porque el equipo asumiria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llegan por escrito en toda clase autonoma y conviene responderlas por anticipado en el mismo material.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su equipo en materia de seguridad, y en la Clase 10 no podra explicar por que su factura hipotetica sube o baja. El segundo error, especifico de una clase autonoma sin encuentro sincronico, es recibir ADR sin consecuencias negativas y darlos por buenos: un ADR que solo lista beneficios no es una decision, es una justificacion escrita despues de los hechos, y el equipo que lo entrega asi llegara a la Clase 11 sin poder explicar ningun trade-off de su arquitectura, que es justamente lo que se le exigira sustentar en la Clase 15.</w:t>
      </w:r>
    </w:p>
    <w:p>
      <w:r>
        <w:rPr>
          <w:b w:val="0"/>
          <w:color w:val="4A4A49"/>
          <w:sz w:val="22"/>
        </w:rPr>
        <w:t xml:space="preserve">Referencia de slides: </w:t>
      </w:r>
      <w:r>
        <w:rPr>
          <w:rFonts w:ascii="Consolas" w:hAnsi="Consolas"/>
          <w:color w:val="111111"/>
          <w:sz w:val="21"/>
        </w:rPr>
        <w:t>Clases/Clase 2 - Modelos de servicio IaaS PaaS SaaS/Presentacion.pptx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2 autónoma (festivo). Hoy avanzamos el PI en: Decidir modelo dominante (IaaS/PaaS/SaaS) para CloudLite + ADR breve.</w:t>
      </w:r>
    </w:p>
    <w:p>
      <w:r>
        <w:rPr>
          <w:b w:val="0"/>
          <w:color w:val="4A4A49"/>
          <w:sz w:val="22"/>
        </w:rPr>
        <w:t>Entregable: ADR-001: decisión de modelo de servicio + matriz de comparación aplicada al dominio.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el equipo tiene 3 personas y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relea la ficha y el C4 Context de la Clase 1 y copie en el encabezado del ADR el nombre del dominio y las 4 capacidades ya aprobadas, verificando que sean literalmente las mismas 4 y que no cambia de dominio a mitad de camino, porque al ser clase autonoma nadie corregira la inconsistencia antes de la entrega.</w:t>
      </w:r>
    </w:p>
    <w:p>
      <w:pPr>
        <w:pStyle w:val="ListNumber"/>
      </w:pPr>
      <w:r>
        <w:rPr>
          <w:b w:val="0"/>
          <w:color w:val="4A4A49"/>
          <w:sz w:val="22"/>
        </w:rPr>
        <w:t>Paso 2: complete la matriz de 4 columnas y 5 filas (control del sistema operativo, esfuerzo de operacion, tiempo hasta la primera demo, costo cualitativo con su driver, portabilidad) puntuando cada celda de 1 a 3 y sumando por columna, verificando que los tres totales de IaaS, PaaS y SaaS sean distintos: si dos empatan, vuelva a puntuar porque el criterio esta mal aplicado; la matriz queda en la seccion Modelo de servicio del informe del PI.</w:t>
      </w:r>
    </w:p>
    <w:p>
      <w:pPr>
        <w:pStyle w:val="ListNumber"/>
      </w:pPr>
      <w:r>
        <w:rPr>
          <w:b w:val="0"/>
          <w:color w:val="4A4A49"/>
          <w:sz w:val="22"/>
        </w:rPr>
        <w:t>Paso 3: redacte el ADR-001 con las 7 secciones obligatorias (titulo, estado, contexto en 3 frases, decision en 1 frase, 2 alternativas descartadas con motivo, 2 consecuencias positivas y 2 negativas, impacto en el PI), verificando que la decision nombre un unico modelo dominante y no un poco de todo, y que cada alternativa descartada explique el motivo en terminos de este dominio y no en teoria.</w:t>
      </w:r>
    </w:p>
    <w:p>
      <w:pPr>
        <w:pStyle w:val="ListNumber"/>
      </w:pPr>
      <w:r>
        <w:rPr>
          <w:b w:val="0"/>
          <w:color w:val="4A4A49"/>
          <w:sz w:val="22"/>
        </w:rPr>
        <w:t>Paso 4: escriba en ExamLab el diagrama Mermaid de responsabilidad compartida con 3 subgrafos (IaaS, PaaS, SaaS), 4 capas por subgrafo y un nodo final de decision, verificando al renderizar que se cuentan 12 nodos de capa, que los nodos gestionados por el equipo y por el proveedor quedan pintados distinto y que la caja de decision cita el mismo modelo del ADR-001.</w:t>
      </w:r>
    </w:p>
    <w:p>
      <w:pPr>
        <w:pStyle w:val="ListNumber"/>
      </w:pPr>
      <w:r>
        <w:rPr>
          <w:b w:val="0"/>
          <w:color w:val="4A4A49"/>
          <w:sz w:val="22"/>
        </w:rPr>
        <w:t>Paso 5: pegue matriz, ADR-001 y diagrama en las 5 preguntas del taller, actualice la seccion Modelo de servicio del informe con el mismo texto del ADR y suba todo a ExamLab (modulo Talleres) antes del domingo 23:59, verificando que el modelo elegido se pueda demostrar sin tarjeta de credito ni cloud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