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repositorio de VetCare como una unica instancia compartida por todas las ventanas y una FabricaConsultas que crea los tres tipos de consulta sin que quien llama conozca las subclases.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repositorio para toda la clinica (Singleton).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(27 pts):</w:t>
      </w:r>
      <w:r>
        <w:rPr>
          <w:rFonts w:ascii="Calibri" w:hAnsi="Calibri" w:eastAsia="Calibri"/>
          <w:b w:val="0"/>
          <w:color w:val="2B2B2B"/>
          <w:sz w:val="22"/>
        </w:rPr>
        <w:t xml:space="preserve"> `FabricaConsultas`: quien pide no sabe que recibe (Factory).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jerarquia y la fabrica en un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¿Que hace exactamente que el Singleton sea Singleton?.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del patron y de su costo.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