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13 · Control de excepciones · try-catch-finally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VetCare, el usuario escribe 'tres' en el campo edad y el codigo ejecuta Integer.parseInt(txtEdad.getText()). ¿Que excepcion se lanza?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IOException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NumberFormatException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NullPointerException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ArithmeticException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Las excepciones checked obligan al programador a capturarlas con try-catch o a declararlas con throws, y si no lo hace el proyecto no compila.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¿Cuando se ejecuta el bloque finally?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Solo si no hubo excepcion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Solo si hubo excepcion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Siempre, haya o no excepcion, incluso si dentro del try hay un return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Solo cuando se usa try-with-resources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Al leer datos/mascotas.csv se escribe catch (IOException e) antes de catch (FileNotFoundException e). ¿Que ocurre?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Compila y funciona igual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Error de compilacion: 'exception has already been caught', porque FileNotFoundException es hija de IOException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Solo aparece una advertencia amarilla en NetBeans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Compila, pero el archivo se cierra dos veces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throw y throws son sinonimos y se pueden usar indistintamente.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El try-with-resources que usa VetCare para leer el CSV cierra automaticamente los objetos que implementan la interfaz: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Serializable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AutoCloseable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Comparable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Runnable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por que un catch vacio es peligroso en VetCare y mencione dos alternativas correctas.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Escriba la firma y las tres validaciones que debe tener setEdad(String) en la clase Mascota antes de asignar el valor.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