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11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A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Hacia adelante se verifica que todo requisito llegue a un caso de uso y a una clase: RF-05, consultar el expediente de una mascota, debe llegar a CU-02 Buscar expediente y a las clases Mascota y Consulta; si se pierde en el camino, el problema de Huellitas queda sin resolver. Hacia atras se verifica que todo elemento del diseño nazca de un requisito: si en la matriz CU-04 Agendar cita aparece sin RF de origen, hay que ligarlo al RF-08 del catalogo o eliminarlo del diagrama, porque nadie construye lo que nadie pidio.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Hallazgo de severidad bloqueante: en el diagrama de clases, Mascota almacena dueño como atributo de texto en lugar de asociarse con la clase Propietario, lo que impide cumplir RF-02 y duplica informacion cada vez que un propietario tiene varias mascotas. Criterio de cierre verificable: existe la asociacion Propietario uno a muchos Mascota con multiplicidad dibujada, el atributo de texto fue eliminado y el nombre Propietario reemplaza a Dueño en todos los artefactos segun el glosario canonico.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