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9 · Casos de uso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Cual de los siguientes es un caso de uso valido para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Validar el campo especie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Registrar mascota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Tabla mascota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Dar clic en el boton Guardar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Para que sirve el limite del sistema (el rectangulo) en un diagrama de casos de uso?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Para decorar el diagrama y que se vea ordenado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Para separar lo que el equipo va a construir de lo que solo se consume desde afuera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Para indicar el orden en que ocurren los casos de uso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Para agrupar las clases del diagrama de clases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En VetCare, despues de mostrar el expediente el veterinario a veces pide exportarlo a PDF y a veces no. Que relacion corresponde entre Buscar expediente y Exportar expediente a PDF?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include, porque la exportacion forma parte de la busqueda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extend, porque la exportacion es opcional y depende de una condicion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generalizacion, porque exportar es un tipo de busqueda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asociacion entre actores, porque intervienen dos roles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Que parte de la especificacion describe el estado en que queda el sistema cuando el caso de uso termina bien?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La precondicion, porque describe el estado inicial requerido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La postcondicion de exito, porque describe el estado final verificable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El flujo alterno, porque describe las desviaciones del camino feliz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La regla de negocio, porque restringe los datos del dominio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Un actor siempre representa a una persona concreta de la clinica Huellitas.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Los flujos alternos se numeran respecto al paso del flujo principal en el que se produce la desviacion, por ejemplo 2a o 4a.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Escriba la precondicion y la postcondicion de exito del caso de uso CU-02 Buscar expediente de VetCare.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Un compañero afirma que con el diagrama de monigotes y elipses ya quedo documentado el sistema VetCare. Que le responde usted y que le hace falta?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