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 Analisis de casos reales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AUTONOMA (festivo, sin encuentro sincrono)</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Informe de caso -&gt; mejoras concretas al PI</w:t>
      </w:r>
    </w:p>
    <w:p>
      <w:pPr>
        <w:pStyle w:val="ListBullet"/>
      </w:pPr>
      <w:r>
        <w:rPr>
          <w:b/>
          <w:color w:val="4A4A49"/>
          <w:sz w:val="22"/>
        </w:rPr>
        <w:t>Entregable de hoy:</w:t>
      </w:r>
      <w:r>
        <w:rPr>
          <w:b w:val="0"/>
          <w:color w:val="4A4A49"/>
          <w:sz w:val="22"/>
        </w:rPr>
        <w:t xml:space="preserve"> Informe 1-2 pag.: caso + 3 mejoras aplicables a VetCare</w:t>
      </w:r>
    </w:p>
    <w:p>
      <w:pPr>
        <w:pStyle w:val="ListBullet"/>
      </w:pPr>
      <w:r>
        <w:rPr>
          <w:b/>
          <w:color w:val="4A4A49"/>
          <w:sz w:val="22"/>
        </w:rPr>
        <w:t>Herramienta:</w:t>
      </w:r>
      <w:r>
        <w:rPr>
          <w:b w:val="0"/>
          <w:color w:val="4A4A49"/>
          <w:sz w:val="22"/>
        </w:rPr>
        <w:t xml:space="preserve"> Google Docs</w:t>
      </w:r>
    </w:p>
    <w:p>
      <w:pPr>
        <w:pStyle w:val="ListBullet"/>
      </w:pPr>
      <w:r>
        <w:rPr>
          <w:b/>
          <w:color w:val="4A4A49"/>
          <w:sz w:val="22"/>
        </w:rPr>
        <w:t>Slides:</w:t>
      </w:r>
      <w:r>
        <w:rPr>
          <w:b w:val="0"/>
          <w:color w:val="4A4A49"/>
          <w:sz w:val="22"/>
        </w:rPr>
        <w:t xml:space="preserve"> Clases/Clase 13 - Analisis de casos reales/Presentacion.pptx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Clase autonoma: este texto es fundamento y guia a la vez (1/2)</w:t>
      </w:r>
      <w:r>
        <w:rPr>
          <w:b w:val="0"/>
          <w:color w:val="4A4A49"/>
          <w:sz w:val="22"/>
        </w:rPr>
        <w:t xml:space="preserve"> — 5 vinetas.</w:t>
      </w:r>
    </w:p>
    <w:p>
      <w:r>
        <w:rPr>
          <w:b/>
          <w:color w:val="4A4A49"/>
          <w:sz w:val="22"/>
        </w:rPr>
        <w:t>[Slide 5] Clase autonoma: este texto es fundamento y guia a la vez (2/2)</w:t>
      </w:r>
      <w:r>
        <w:rPr>
          <w:b w:val="0"/>
          <w:color w:val="4A4A49"/>
          <w:sz w:val="22"/>
        </w:rPr>
        <w:t xml:space="preserve"> — 3 vinetas.</w:t>
      </w:r>
    </w:p>
    <w:p>
      <w:r>
        <w:rPr>
          <w:b/>
          <w:color w:val="4A4A49"/>
          <w:sz w:val="22"/>
        </w:rPr>
        <w:t>[Slide 6] Causa proxima y causa raiz: la distincion que separa el analisis de la anecdota (1/2)</w:t>
      </w:r>
      <w:r>
        <w:rPr>
          <w:b w:val="0"/>
          <w:color w:val="4A4A49"/>
          <w:sz w:val="22"/>
        </w:rPr>
        <w:t xml:space="preserve"> — 6 vinetas.</w:t>
      </w:r>
    </w:p>
    <w:p>
      <w:pPr>
        <w:pStyle w:val="ListBullet2"/>
      </w:pPr>
      <w:r>
        <w:rPr>
          <w:b w:val="0"/>
          <w:color w:val="4A4A49"/>
          <w:sz w:val="22"/>
        </w:rPr>
        <w:t>Conviene ademas admitir la existencia de factores contribuyentes, que son condiciones que empeoraron el resultado sin haberlo causado, como que el incidente ocurriera de noche, que la documentacion estuviera desactualizada o que el unico que sabia restaurar estuviera de vacaciones.</w:t>
      </w:r>
    </w:p>
    <w:p>
      <w:r>
        <w:rPr>
          <w:b/>
          <w:color w:val="4A4A49"/>
          <w:sz w:val="22"/>
        </w:rPr>
        <w:t>[Slide 7] Causa proxima y causa raiz: la distincion que separa el analisis de la anecdota (2/2)</w:t>
      </w:r>
      <w:r>
        <w:rPr>
          <w:b w:val="0"/>
          <w:color w:val="4A4A49"/>
          <w:sz w:val="22"/>
        </w:rPr>
        <w:t xml:space="preserve"> — 4 vinetas.</w:t>
      </w:r>
    </w:p>
    <w:p>
      <w:r>
        <w:rPr>
          <w:b/>
          <w:color w:val="4A4A49"/>
          <w:sz w:val="22"/>
        </w:rPr>
        <w:t>[Slide 8] Caso uno: el respaldo que nunca se restauro (GitLab, 2017) (1/2)</w:t>
      </w:r>
      <w:r>
        <w:rPr>
          <w:b w:val="0"/>
          <w:color w:val="4A4A49"/>
          <w:sz w:val="22"/>
        </w:rPr>
        <w:t xml:space="preserve"> — 4 vinetas.</w:t>
      </w:r>
    </w:p>
    <w:p>
      <w:pPr>
        <w:pStyle w:val="ListBullet2"/>
      </w:pPr>
      <w:r>
        <w:rPr>
          <w:b w:val="0"/>
          <w:color w:val="4A4A49"/>
          <w:sz w:val="22"/>
        </w:rPr>
        <w:t>Eso es la causa proxima.</w:t>
      </w:r>
    </w:p>
    <w:p>
      <w:pPr>
        <w:pStyle w:val="ListBullet2"/>
      </w:pPr>
      <w:r>
        <w:rPr>
          <w:b w:val="0"/>
          <w:color w:val="4A4A49"/>
          <w:sz w:val="22"/>
        </w:rPr>
        <w:t>Lo que convirtio un error humano corriente en un incidente historico fue que, al intentar recuperar, la compania descubrio que sus cinco mecanismos de respaldo y replicacion fallaban de una u otra forma: entre otras cosas, la herramienta de volcado logico fallaba en silencio por una diferencia de version entre cliente y servidor, y las copias que debian estar en almacenamiento remoto estaban vacias.</w:t>
      </w:r>
    </w:p>
    <w:p>
      <w:pPr>
        <w:pStyle w:val="ListBullet2"/>
      </w:pPr>
      <w:r>
        <w:rPr>
          <w:b w:val="0"/>
          <w:color w:val="4A4A49"/>
          <w:sz w:val="22"/>
        </w:rPr>
        <w:t>Terminaron restaurando desde una copia de trabajo de unas seis horas antes y perdieron de forma definitiva la informacion creada en esa ventana, del orden de miles de proyectos y comentarios.</w:t>
      </w:r>
    </w:p>
    <w:p>
      <w:r>
        <w:rPr>
          <w:b/>
          <w:color w:val="4A4A49"/>
          <w:sz w:val="22"/>
        </w:rPr>
        <w:t>[Slide 9] Caso uno: el respaldo que nunca se restauro (GitLab, 2017) (2/2)</w:t>
      </w:r>
      <w:r>
        <w:rPr>
          <w:b w:val="0"/>
          <w:color w:val="4A4A49"/>
          <w:sz w:val="22"/>
        </w:rPr>
        <w:t xml:space="preserve"> — 3 vinetas.</w:t>
      </w:r>
    </w:p>
    <w:p>
      <w:r>
        <w:rPr>
          <w:b/>
          <w:color w:val="4A4A49"/>
          <w:sz w:val="22"/>
        </w:rPr>
        <w:t>[Slide 10] Caso dos: permisos excesivos (Capital One, 2019) (1/2)</w:t>
      </w:r>
      <w:r>
        <w:rPr>
          <w:b w:val="0"/>
          <w:color w:val="4A4A49"/>
          <w:sz w:val="22"/>
        </w:rPr>
        <w:t xml:space="preserve"> — 3 vinetas.</w:t>
      </w:r>
    </w:p>
    <w:p>
      <w:pPr>
        <w:pStyle w:val="ListBullet2"/>
      </w:pPr>
      <w:r>
        <w:rPr>
          <w:b w:val="0"/>
          <w:color w:val="4A4A49"/>
          <w:sz w:val="22"/>
        </w:rPr>
        <w:t>Caso dos, permisos excesivos.</w:t>
      </w:r>
    </w:p>
    <w:p>
      <w:pPr>
        <w:pStyle w:val="ListBullet2"/>
      </w:pPr>
      <w:r>
        <w:rPr>
          <w:b w:val="0"/>
          <w:color w:val="4A4A49"/>
          <w:sz w:val="22"/>
        </w:rPr>
        <w:t>Y hay que decir la parte incomoda, porque es la que se repite en los proyectos de curso: casi todos los estudiantes hacen que la aplicacion se conecte con un usuario que tiene todo, porque asi nunca aparece un error de permisos y se avanza mas rapido.</w:t>
      </w:r>
    </w:p>
    <w:p>
      <w:r>
        <w:rPr>
          <w:b/>
          <w:color w:val="4A4A49"/>
          <w:sz w:val="22"/>
        </w:rPr>
        <w:t>[Slide 11] Caso dos: permisos excesivos (Capital One, 2019) (2/2)</w:t>
      </w:r>
      <w:r>
        <w:rPr>
          <w:b w:val="0"/>
          <w:color w:val="4A4A49"/>
          <w:sz w:val="22"/>
        </w:rPr>
        <w:t xml:space="preserve"> — 4 vinetas.</w:t>
      </w:r>
    </w:p>
    <w:p>
      <w:r>
        <w:rPr>
          <w:b/>
          <w:color w:val="4A4A49"/>
          <w:sz w:val="22"/>
        </w:rPr>
        <w:t>[Slide 12] Caso tres: perdida de datos en una migracion (MySpace, 2019) (1/2)</w:t>
      </w:r>
      <w:r>
        <w:rPr>
          <w:b w:val="0"/>
          <w:color w:val="4A4A49"/>
          <w:sz w:val="22"/>
        </w:rPr>
        <w:t xml:space="preserve"> — 4 vinetas.</w:t>
      </w:r>
    </w:p>
    <w:p>
      <w:pPr>
        <w:pStyle w:val="ListBullet2"/>
      </w:pPr>
      <w:r>
        <w:rPr>
          <w:b w:val="0"/>
          <w:color w:val="4A4A49"/>
          <w:sz w:val="22"/>
        </w:rPr>
        <w:t>Caso tres, perdida de datos durante una migracion.</w:t>
      </w:r>
    </w:p>
    <w:p>
      <w:r>
        <w:rPr>
          <w:b/>
          <w:color w:val="4A4A49"/>
          <w:sz w:val="22"/>
        </w:rPr>
        <w:t>[Slide 13] Caso tres: perdida de datos en una migracion (MySpace, 2019) (2/2)</w:t>
      </w:r>
      <w:r>
        <w:rPr>
          <w:b w:val="0"/>
          <w:color w:val="4A4A49"/>
          <w:sz w:val="22"/>
        </w:rPr>
        <w:t xml:space="preserve"> — 3 vinetas.</w:t>
      </w:r>
    </w:p>
    <w:p>
      <w:r>
        <w:rPr>
          <w:b/>
          <w:color w:val="4A4A49"/>
          <w:sz w:val="22"/>
        </w:rPr>
        <w:t>[Slide 14] Caso cuatro: concurrencia, el que no llega a los titulares (1/2)</w:t>
      </w:r>
      <w:r>
        <w:rPr>
          <w:b w:val="0"/>
          <w:color w:val="4A4A49"/>
          <w:sz w:val="22"/>
        </w:rPr>
        <w:t xml:space="preserve"> — 5 vinetas.</w:t>
      </w:r>
    </w:p>
    <w:p>
      <w:pPr>
        <w:pStyle w:val="ListBullet2"/>
      </w:pPr>
      <w:r>
        <w:rPr>
          <w:b w:val="0"/>
          <w:color w:val="4A4A49"/>
          <w:sz w:val="22"/>
        </w:rPr>
        <w:t>Caso cuatro, concurrencia.</w:t>
      </w:r>
    </w:p>
    <w:p>
      <w:r>
        <w:rPr>
          <w:b/>
          <w:color w:val="4A4A49"/>
          <w:sz w:val="22"/>
        </w:rPr>
        <w:t>[Slide 15] Caso cuatro: concurrencia, el que no llega a los titulares (2/2)</w:t>
      </w:r>
      <w:r>
        <w:rPr>
          <w:b w:val="0"/>
          <w:color w:val="4A4A49"/>
          <w:sz w:val="22"/>
        </w:rPr>
        <w:t xml:space="preserve"> — 4 vinetas.</w:t>
      </w:r>
    </w:p>
    <w:p>
      <w:r>
        <w:rPr>
          <w:b/>
          <w:color w:val="4A4A49"/>
          <w:sz w:val="22"/>
        </w:rPr>
        <w:t>[Slide 16] Lo que decide la calificacion: lecciones accionables (1/3)</w:t>
      </w:r>
      <w:r>
        <w:rPr>
          <w:b w:val="0"/>
          <w:color w:val="4A4A49"/>
          <w:sz w:val="22"/>
        </w:rPr>
        <w:t xml:space="preserve"> — 5 vinetas.</w:t>
      </w:r>
    </w:p>
    <w:p>
      <w:pPr>
        <w:pStyle w:val="ListBullet2"/>
      </w:pPr>
      <w:r>
        <w:rPr>
          <w:b w:val="0"/>
          <w:color w:val="4A4A49"/>
          <w:sz w:val="22"/>
        </w:rPr>
        <w:t>Lo que decide la calificacion de hoy no es reunir casos sino escribir lecciones accionables, y esa es la habilidad que el estudiante debe practicar sin ayuda.</w:t>
      </w:r>
    </w:p>
    <w:p>
      <w:pPr>
        <w:pStyle w:val="ListBullet2"/>
      </w:pPr>
      <w:r>
        <w:rPr>
          <w:b w:val="0"/>
          <w:color w:val="4A4A49"/>
          <w:sz w:val="22"/>
        </w:rPr>
        <w:t>Compare las dos versiones.</w:t>
      </w:r>
    </w:p>
    <w:p>
      <w:r>
        <w:rPr>
          <w:b/>
          <w:color w:val="4A4A49"/>
          <w:sz w:val="22"/>
        </w:rPr>
        <w:t>[Slide 17] Lo que decide la calificacion: lecciones accionables (2/3)</w:t>
      </w:r>
      <w:r>
        <w:rPr>
          <w:b w:val="0"/>
          <w:color w:val="4A4A49"/>
          <w:sz w:val="22"/>
        </w:rPr>
        <w:t xml:space="preserve"> — 5 vinetas.</w:t>
      </w:r>
    </w:p>
    <w:p>
      <w:r>
        <w:rPr>
          <w:b/>
          <w:color w:val="4A4A49"/>
          <w:sz w:val="22"/>
        </w:rPr>
        <w:t>[Slide 18] Lo que decide la calificacion: lecciones accionables (3/3)</w:t>
      </w:r>
      <w:r>
        <w:rPr>
          <w:b w:val="0"/>
          <w:color w:val="4A4A49"/>
          <w:sz w:val="22"/>
        </w:rPr>
        <w:t xml:space="preserve"> — 3 vinetas.</w:t>
      </w:r>
    </w:p>
    <w:p>
      <w:r>
        <w:rPr>
          <w:b/>
          <w:color w:val="4A4A49"/>
          <w:sz w:val="22"/>
        </w:rPr>
        <w:t>[Slide 19] Leer un plan de ejecucion ajeno</w:t>
      </w:r>
      <w:r>
        <w:rPr>
          <w:b w:val="0"/>
          <w:color w:val="4A4A49"/>
          <w:sz w:val="22"/>
        </w:rPr>
        <w:t xml:space="preserve"> — 13 vinetas.</w:t>
      </w:r>
    </w:p>
    <w:p>
      <w:r>
        <w:rPr>
          <w:b/>
          <w:color w:val="4A4A49"/>
          <w:sz w:val="22"/>
        </w:rPr>
        <w:t>Demo que usted debe poder repetir:</w:t>
      </w:r>
      <w:r>
        <w:rPr>
          <w:b w:val="0"/>
          <w:color w:val="4A4A49"/>
          <w:sz w:val="22"/>
        </w:rPr>
        <w:t xml:space="preserve"> Plantilla: contexto -&gt; fallo -&gt; leccion -&gt; cambio en VetCare.</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13 - Analisis de casos reales/Presentacion.pptx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13 · Analisis de casos reales ·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Clase autonoma: este texto es fundamento y guia a la vez (1/2)</w:t>
      </w:r>
    </w:p>
    <w:p>
      <w:pPr>
        <w:pStyle w:val="ListNumber"/>
      </w:pPr>
      <w:r>
        <w:rPr>
          <w:b w:val="0"/>
          <w:color w:val="4A4A49"/>
          <w:sz w:val="22"/>
        </w:rPr>
        <w:t>Clase autonoma: este texto es fundamento y guia a la vez (2/2)</w:t>
      </w:r>
    </w:p>
    <w:p>
      <w:pPr>
        <w:pStyle w:val="ListNumber"/>
      </w:pPr>
      <w:r>
        <w:rPr>
          <w:b w:val="0"/>
          <w:color w:val="4A4A49"/>
          <w:sz w:val="22"/>
        </w:rPr>
        <w:t>Causa proxima y causa raiz: la distincion que separa el analisis de la anecdota (1/2)</w:t>
      </w:r>
    </w:p>
    <w:p>
      <w:pPr>
        <w:pStyle w:val="ListNumber"/>
      </w:pPr>
      <w:r>
        <w:rPr>
          <w:b w:val="0"/>
          <w:color w:val="4A4A49"/>
          <w:sz w:val="22"/>
        </w:rPr>
        <w:t>Causa proxima y causa raiz: la distincion que separa el analisis de la anecdota (2/2)</w:t>
      </w:r>
    </w:p>
    <w:p>
      <w:pPr>
        <w:pStyle w:val="ListNumber"/>
      </w:pPr>
      <w:r>
        <w:rPr>
          <w:b w:val="0"/>
          <w:color w:val="4A4A49"/>
          <w:sz w:val="22"/>
        </w:rPr>
        <w:t>Caso uno: el respaldo que nunca se restauro (GitLab, 2017) (1/2)</w:t>
      </w:r>
    </w:p>
    <w:p>
      <w:pPr>
        <w:pStyle w:val="ListNumber"/>
      </w:pPr>
      <w:r>
        <w:rPr>
          <w:b w:val="0"/>
          <w:color w:val="4A4A49"/>
          <w:sz w:val="22"/>
        </w:rPr>
        <w:t>Caso uno: el respaldo que nunca se restauro (GitLab, 2017) (2/2)</w:t>
      </w:r>
    </w:p>
    <w:p>
      <w:pPr>
        <w:pStyle w:val="ListNumber"/>
      </w:pPr>
      <w:r>
        <w:rPr>
          <w:b w:val="0"/>
          <w:color w:val="4A4A49"/>
          <w:sz w:val="22"/>
        </w:rPr>
        <w:t>Caso dos: permisos excesivos (Capital One, 2019) (1/2)</w:t>
      </w:r>
    </w:p>
    <w:p>
      <w:pPr>
        <w:pStyle w:val="ListNumber"/>
      </w:pPr>
      <w:r>
        <w:rPr>
          <w:b w:val="0"/>
          <w:color w:val="4A4A49"/>
          <w:sz w:val="22"/>
        </w:rPr>
        <w:t>Caso dos: permisos excesivos (Capital One, 2019) (2/2)</w:t>
      </w:r>
    </w:p>
    <w:p>
      <w:pPr>
        <w:pStyle w:val="ListNumber"/>
      </w:pPr>
      <w:r>
        <w:rPr>
          <w:b w:val="0"/>
          <w:color w:val="4A4A49"/>
          <w:sz w:val="22"/>
        </w:rPr>
        <w:t>Caso tres: perdida de datos en una migracion (MySpace, 2019) (1/2)</w:t>
      </w:r>
    </w:p>
    <w:p>
      <w:pPr>
        <w:pStyle w:val="ListNumber"/>
      </w:pPr>
      <w:r>
        <w:rPr>
          <w:b w:val="0"/>
          <w:color w:val="4A4A49"/>
          <w:sz w:val="22"/>
        </w:rPr>
        <w:t>Caso tres: perdida de datos en una migracion (MySpace, 2019) (2/2)</w:t>
      </w:r>
    </w:p>
    <w:p>
      <w:pPr>
        <w:pStyle w:val="ListNumber"/>
      </w:pPr>
      <w:r>
        <w:rPr>
          <w:b w:val="0"/>
          <w:color w:val="4A4A49"/>
          <w:sz w:val="22"/>
        </w:rPr>
        <w:t>Caso cuatro: concurrencia, el que no llega a los titulares (1/2)</w:t>
      </w:r>
    </w:p>
    <w:p>
      <w:pPr>
        <w:pStyle w:val="ListNumber"/>
      </w:pPr>
      <w:r>
        <w:rPr>
          <w:b w:val="0"/>
          <w:color w:val="4A4A49"/>
          <w:sz w:val="22"/>
        </w:rPr>
        <w:t>Caso cuatro: concurrencia, el que no llega a los titulares (2/2)</w:t>
      </w:r>
    </w:p>
    <w:p>
      <w:pPr>
        <w:pStyle w:val="ListNumber"/>
      </w:pPr>
      <w:r>
        <w:rPr>
          <w:b w:val="0"/>
          <w:color w:val="4A4A49"/>
          <w:sz w:val="22"/>
        </w:rPr>
        <w:t>Lo que decide la calificacion: lecciones accionables (1/3)</w:t>
      </w:r>
    </w:p>
    <w:p>
      <w:pPr>
        <w:pStyle w:val="ListNumber"/>
      </w:pPr>
      <w:r>
        <w:rPr>
          <w:b w:val="0"/>
          <w:color w:val="4A4A49"/>
          <w:sz w:val="22"/>
        </w:rPr>
        <w:t>Lo que decide la calificacion: lecciones accionables (2/3)</w:t>
      </w:r>
    </w:p>
    <w:p>
      <w:pPr>
        <w:pStyle w:val="ListNumber"/>
      </w:pPr>
      <w:r>
        <w:rPr>
          <w:b w:val="0"/>
          <w:color w:val="4A4A49"/>
          <w:sz w:val="22"/>
        </w:rPr>
        <w:t>Lo que decide la calificacion: lecciones accionables (3/3)</w:t>
      </w:r>
    </w:p>
    <w:p>
      <w:pPr>
        <w:pStyle w:val="ListNumber"/>
      </w:pPr>
      <w:r>
        <w:rPr>
          <w:b w:val="0"/>
          <w:color w:val="4A4A49"/>
          <w:sz w:val="22"/>
        </w:rPr>
        <w:t>Leer un plan de ejecucion ajeno</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Actividad autonoma — contexto / por que importa</w:t>
      </w:r>
    </w:p>
    <w:p>
      <w:pPr>
        <w:pStyle w:val="ListNumber"/>
      </w:pPr>
      <w:r>
        <w:rPr>
          <w:b w:val="0"/>
          <w:color w:val="4A4A49"/>
          <w:sz w:val="22"/>
        </w:rPr>
        <w:t>Actividad autonoma — objetivo y criterios</w:t>
      </w:r>
    </w:p>
    <w:p>
      <w:pPr>
        <w:pStyle w:val="ListNumber"/>
      </w:pPr>
      <w:r>
        <w:rPr>
          <w:b w:val="0"/>
          <w:color w:val="4A4A49"/>
          <w:sz w:val="22"/>
        </w:rPr>
        <w:t>Actividad autonoma — escenario / datos de partida</w:t>
      </w:r>
    </w:p>
    <w:p>
      <w:pPr>
        <w:pStyle w:val="ListNumber"/>
      </w:pPr>
      <w:r>
        <w:rPr>
          <w:b w:val="0"/>
          <w:color w:val="4A4A49"/>
          <w:sz w:val="22"/>
        </w:rPr>
        <w:t>Actividad autonoma — pasos guiados</w:t>
      </w:r>
    </w:p>
    <w:p>
      <w:pPr>
        <w:pStyle w:val="ListNumber"/>
      </w:pPr>
      <w:r>
        <w:rPr>
          <w:b w:val="0"/>
          <w:color w:val="4A4A49"/>
          <w:sz w:val="22"/>
        </w:rPr>
        <w:t>Actividad autonoma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13</w:t>
      </w:r>
    </w:p>
    <w:p>
      <w:pPr>
        <w:ind w:left="432"/>
        <w:shd w:val="clear" w:fill="F7F7F8"/>
      </w:pPr>
      <w:r>
        <w:rPr>
          <w:b w:val="0"/>
          <w:i/>
          <w:color w:val="4A4A49"/>
          <w:sz w:val="21"/>
        </w:rPr>
        <w:t xml:space="preserve">Privado, no se proyecta: </w:t>
      </w:r>
      <w:r>
        <w:rPr>
          <w:rFonts w:ascii="Consolas" w:hAnsi="Consolas"/>
          <w:b w:val="0"/>
          <w:i/>
          <w:color w:val="111111"/>
          <w:sz w:val="20"/>
        </w:rPr>
        <w:t>Kit docente/Clase 13/Solucion Taller Clase 13 - VetCare.docx</w:t>
      </w:r>
    </w:p>
    <w:p>
      <w:pPr>
        <w:spacing w:before="200" w:after="60"/>
      </w:pPr>
      <w:r>
        <w:rPr>
          <w:b/>
          <w:color w:val="1A1C1D"/>
          <w:sz w:val="32"/>
        </w:rPr>
        <w:t>Plan minuto a minuto (120 min equivalentes — trabajo autonomo)</w:t>
      </w:r>
    </w:p>
    <w:p>
      <w:pPr>
        <w:ind w:left="432"/>
        <w:shd w:val="clear" w:fill="F7F7F8"/>
      </w:pPr>
      <w:r>
        <w:rPr>
          <w:b w:val="0"/>
          <w:i/>
          <w:color w:val="4A4A49"/>
          <w:sz w:val="21"/>
        </w:rPr>
        <w:t>El estudiante trabaja sin encuentro sincrono. Usted publica este guion resumido + taller en ExamLab.</w:t>
      </w:r>
    </w:p>
    <w:p>
      <w:pPr>
        <w:spacing w:before="200" w:after="60"/>
      </w:pPr>
      <w:r>
        <w:rPr>
          <w:b/>
          <w:color w:val="1A1C1D"/>
          <w:sz w:val="32"/>
        </w:rPr>
        <w:t>Bloque A (0-20) · Encuadre PI</w:t>
      </w:r>
    </w:p>
    <w:p>
      <w:r>
        <w:rPr>
          <w:b/>
          <w:color w:val="4A4A49"/>
          <w:sz w:val="22"/>
        </w:rPr>
        <w:t>Decir/publicar:</w:t>
      </w:r>
      <w:r>
        <w:rPr>
          <w:b w:val="0"/>
          <w:color w:val="4A4A49"/>
          <w:sz w:val="22"/>
        </w:rPr>
        <w:t xml:space="preserve"> «Hoy avanzamos el PI en: Informe de caso -&gt; mejoras concretas al PI. No es un taller suelto.»</w:t>
      </w:r>
    </w:p>
    <w:p>
      <w:r>
        <w:rPr>
          <w:b w:val="0"/>
          <w:color w:val="4A4A49"/>
          <w:sz w:val="22"/>
        </w:rPr>
        <w:t>Referencia slides: Agenda + Objetivo PI.</w:t>
      </w:r>
    </w:p>
    <w:p>
      <w:pPr>
        <w:spacing w:before="200" w:after="60"/>
      </w:pPr>
      <w:r>
        <w:rPr>
          <w:b/>
          <w:color w:val="1A1C1D"/>
          <w:sz w:val="32"/>
        </w:rPr>
        <w:t>Bloque B (20-45) · Teoria minima</w:t>
      </w:r>
    </w:p>
    <w:p>
      <w:r>
        <w:rPr>
          <w:b w:val="0"/>
          <w:color w:val="4A4A49"/>
          <w:sz w:val="22"/>
        </w:rPr>
        <w:t>Leer Teoria Core. Tomar notas en el informe del PI.</w:t>
      </w:r>
    </w:p>
    <w:p>
      <w:pPr>
        <w:spacing w:before="200" w:after="60"/>
      </w:pPr>
      <w:r>
        <w:rPr>
          <w:b/>
          <w:color w:val="1A1C1D"/>
          <w:sz w:val="32"/>
        </w:rPr>
        <w:t>Bloque C (45-100) · Practica = entregable PI</w:t>
      </w:r>
    </w:p>
    <w:p>
      <w:r>
        <w:rPr>
          <w:b w:val="0"/>
          <w:color w:val="4A4A49"/>
          <w:sz w:val="22"/>
        </w:rPr>
        <w:t>Seguir el taller estudiante. Herramienta: Google Docs.</w:t>
      </w:r>
    </w:p>
    <w:p>
      <w:r>
        <w:rPr>
          <w:b w:val="0"/>
          <w:color w:val="4A4A49"/>
          <w:sz w:val="22"/>
        </w:rPr>
        <w:t>Salida esperada de la practica (publiquela junto al enunciado para que el</w:t>
      </w:r>
    </w:p>
    <w:p>
      <w:r>
        <w:rPr>
          <w:b w:val="0"/>
          <w:color w:val="4A4A49"/>
          <w:sz w:val="22"/>
        </w:rPr>
        <w:t>estudiante autonomo sepa si le quedo bien):</w:t>
      </w:r>
    </w:p>
    <w:p>
      <w:pPr>
        <w:shd w:val="clear" w:fill="FFF4EC"/>
        <w:spacing w:before="80" w:after="40"/>
      </w:pPr>
      <w:r>
        <w:rPr>
          <w:b/>
          <w:color w:val="C23E12"/>
          <w:sz w:val="21"/>
        </w:rPr>
        <w:t>📸  Salida esperada de la demo de la Clase 13</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Google Docs y repita la demo de este bloque sobre el dominio VetCare (no otro ejemplo).  2) Capture la ventana en el momento en que se ve el resultado, no el escritorio completo.  3) Recorte a ~1200 px de ancho.  4) Guardela como Kit docente/Clase 13/Capturas/cap01_demo.png.  5) Vuelva a generar el guion: la imagen queda embebida aqui sola.</w:t>
      </w:r>
    </w:p>
    <w:p>
      <w:pPr>
        <w:spacing w:before="200" w:after="60"/>
      </w:pPr>
      <w:r>
        <w:rPr>
          <w:b/>
          <w:color w:val="1A1C1D"/>
          <w:sz w:val="32"/>
        </w:rPr>
        <w:t>Bloque D (100-120) · Empaquetado y cierre</w:t>
      </w:r>
    </w:p>
    <w:p>
      <w:r>
        <w:rPr>
          <w:b w:val="0"/>
          <w:color w:val="4A4A49"/>
          <w:sz w:val="22"/>
        </w:rPr>
        <w:t>Subir entregable a ExamLab. Actualizar el checklist PI del proyecto.</w:t>
      </w:r>
    </w:p>
    <w:p>
      <w:pPr>
        <w:spacing w:before="200" w:after="60"/>
      </w:pPr>
      <w:r>
        <w:rPr>
          <w:b/>
          <w:color w:val="1A1C1D"/>
          <w:sz w:val="32"/>
        </w:rPr>
        <w:t>Codigo / scripts</w:t>
      </w:r>
    </w:p>
    <w:p>
      <w:r>
        <w:rPr>
          <w:b w:val="0"/>
          <w:color w:val="4A4A49"/>
          <w:sz w:val="22"/>
        </w:rPr>
        <w:t>Carpeta Codigo/ — archivo N/A.</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13/Capturas/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