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clase, porque es la decision que la solucion docente califica.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VetCare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del taller NO lleva COMMIT: si lo llevara, llamarlo desde dentro de un bloque con EXCEPTION fallaria, porque PostgreSQL no permite confirmar la transaccion mientras hay un savepoint activo.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31]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32] El motor de hoy es PostgreSQL, y eso decide que se puede demostrar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del taller es la salida del motor y no una promesa.</w:t>
      </w:r>
    </w:p>
    <w:p>
      <w:r>
        <w:rPr>
          <w:b/>
          <w:color w:val="4A4A49"/>
          <w:sz w:val="22"/>
        </w:rPr>
        <w:t>[Slide 33]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34]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35] El segundo procedimiento: sp_registrar_consulta y el EXISTS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36] El segundo procedimiento:...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Como amarra con las clases vecinas y con la rubrica del PI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38] Como amarra con las clases vecinas y con la rubrica del PI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(1/2)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procedimiento de negocio (agendar cita / registrar consulta).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57]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59]</w:t>
      </w:r>
    </w:p>
    <w:p>
      <w:r>
        <w:rPr>
          <w:b w:val="0"/>
          <w:color w:val="4A4A49"/>
          <w:sz w:val="22"/>
        </w:rPr>
        <w:t>Repasar checklist del dia con [Slide 59]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61]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procedimiento de negocio (agendar cita / registrar consulta).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61]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