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Cardinalidad y selectividad: por que el motor decide lo que decide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r>
        <w:rPr>
          <w:b/>
          <w:color w:val="4A4A49"/>
          <w:sz w:val="22"/>
        </w:rPr>
        <w:t>[Slide 12] Cardinalidad y selectividad: por que el motor decide lo que decide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Cardinalidad y selectividad: por que el motor decide lo que decide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Full table scan contra index scan, sin caricaturas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r>
        <w:rPr>
          <w:b/>
          <w:color w:val="4A4A49"/>
          <w:sz w:val="22"/>
        </w:rPr>
        <w:t>[Slide 15] Full table scan contra index scan, sin caricaturas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Predicado sargable: el antipatron que conecta con la Clase 7 (1/3)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Predicado sargable: el antipatron que conecta con la Clase 7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Predicado sargable: el antipatron que conecta con la Clase 7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Predicado sargable: el antipatron que conecta...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subconsulta correlacionada: 2.006 pasadas o una sola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que valen puntos y que el docente tiene que poder justificar en el momento.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r>
        <w:rPr>
          <w:b/>
          <w:color w:val="4A4A49"/>
          <w:sz w:val="22"/>
        </w:rPr>
        <w:t>[Slide 22] La subconsulta correlacionada: 2.006 pasadas o una sola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La subconsulta correlacionada: 2.006 pasadas o una sola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subconsulta correlacionada: 2.006 pasadas o una sola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Optimizar no cambia el resultado, y eso se demuestra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Tres advertencias al calificar.</w:t>
      </w:r>
    </w:p>
    <w:p>
      <w:r>
        <w:rPr>
          <w:b/>
          <w:color w:val="4A4A49"/>
          <w:sz w:val="22"/>
        </w:rPr>
        <w:t>[Slide 26] Optimizar no cambia el resultado, y eso se demuestra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antes y el despues del script de la clase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despues, lo que la quinta afirmacion de la pregunta 4 castiga: cambiar la coma por JOIN...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r>
        <w:rPr>
          <w:b/>
          <w:color w:val="4A4A49"/>
          <w:sz w:val="22"/>
        </w:rPr>
        <w:t>[Slide 28] El antes y el despues del script de la clase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29] El antes y el despues del script de la clase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Donde se corre todo esto, y que no se puede medir aqui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r>
        <w:rPr>
          <w:b/>
          <w:color w:val="4A4A49"/>
          <w:sz w:val="22"/>
        </w:rPr>
        <w:t>[Slide 31] Donde se corre todo esto, y que no se puede medir aqui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Preguntas frecuentes del grupo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33] Preguntas frecuentes del grupo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34] Preguntas frecuentes del grupo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35] El antipatron y su reescritura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36] EXPLAIN ANALYZE: la evidencia, no la opinion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37] Matar la subconsulta correlacionada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(3/3)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conecta... — sintaxis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(4/4)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(3/3)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(1/2)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antipatron y su reescritura</w:t>
      </w:r>
    </w:p>
    <w:p>
      <w:pPr>
        <w:pStyle w:val="ListNumber"/>
      </w:pPr>
      <w:r>
        <w:rPr>
          <w:b w:val="0"/>
          <w:color w:val="4A4A49"/>
          <w:sz w:val="22"/>
        </w:rPr>
        <w:t>EXPLAIN ANALYZE: la evidencia, no la opinion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Primera pareja de consultas antes/despues del PI.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47]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49]</w:t>
      </w:r>
    </w:p>
    <w:p>
      <w:r>
        <w:rPr>
          <w:b w:val="0"/>
          <w:color w:val="4A4A49"/>
          <w:sz w:val="22"/>
        </w:rPr>
        <w:t>Repasar checklist del dia con [Slide 49]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Primera pareja de consultas antes/despues del PI.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51]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