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Proyectado en la lamina «La pregunta de entrada: «no, ahí no, toca acá» (1/2)» (3 vinetas).</w:t>
      </w:r>
    </w:p>
    <w:p>
      <w:pPr>
        <w:pStyle w:val="ListBullet"/>
      </w:pPr>
      <w:r>
        <w:rPr>
          <w:b w:val="0"/>
          <w:color w:val="4A4A49"/>
          <w:sz w:val="22"/>
        </w:rPr>
        <w:t>El gancho de hoy funciona porque todos los equipos van a reconocerse en él.</w:t>
      </w:r>
    </w:p>
    <w:p>
      <w:pPr>
        <w:pStyle w:val="ListBullet"/>
      </w:pPr>
      <w:r>
        <w:rPr>
          <w:b w:val="0"/>
          <w:color w:val="4A4A49"/>
          <w:sz w:val="22"/>
        </w:rPr>
        <w:t>Esa frase es el dato más valioso que el equipo tiene hoy, y viene disfrazada de incomodidad.</w:t>
      </w:r>
    </w:p>
    <w:p>
      <w:pPr>
        <w:pStyle w:val="ListBullet"/>
      </w:pPr>
      <w:r>
        <w:rPr>
          <w:b w:val="0"/>
          <w:color w:val="4A4A49"/>
          <w:sz w:val="22"/>
        </w:rPr>
        <w:t>Y en la vida real nadie va a estar al lado del usuario para aclarárselo.</w:t>
      </w:r>
    </w:p>
    <w:p>
      <w:pPr>
        <w:pStyle w:val="ListBullet"/>
      </w:pPr>
      <w:r>
        <w:rPr>
          <w:b w:val="0"/>
          <w:color w:val="4A4A49"/>
          <w:sz w:val="22"/>
        </w:rPr>
        <w:t xml:space="preserve">Vale la pena decirlo con una frase que se les quede: </w:t>
      </w:r>
      <w:r>
        <w:rPr>
          <w:b/>
          <w:color w:val="4A4A49"/>
          <w:sz w:val="22"/>
        </w:rPr>
        <w:t>la persona que prueba nunca se equivoca; si se perdió, el diseño la perdió.</w:t>
      </w:r>
      <w:r>
        <w:rPr>
          <w:b w:val="0"/>
          <w:color w:val="4A4A49"/>
          <w:sz w:val="22"/>
        </w:rPr>
        <w:t xml:space="preserve"> Aproveche la apertura para tomar el pulso operativo: en el muro, cada equipo escribe </w:t>
      </w:r>
      <w:r>
        <w:rPr>
          <w:b/>
          <w:color w:val="4A4A49"/>
          <w:sz w:val="22"/>
        </w:rPr>
        <w:t>cuántas veces tuvo que intervenir</w:t>
      </w:r>
      <w:r>
        <w:rPr>
          <w:b w:val="0"/>
          <w:color w:val="4A4A49"/>
          <w:sz w:val="22"/>
        </w:rPr>
        <w:t>.</w:t>
      </w:r>
    </w:p>
    <w:p>
      <w:pPr>
        <w:pStyle w:val="ListBullet"/>
      </w:pPr>
      <w:r>
        <w:rPr>
          <w:b w:val="0"/>
          <w:color w:val="4A4A49"/>
          <w:sz w:val="22"/>
        </w:rPr>
        <w:t>Ese número, además de romper el hielo, le dice de inmediato quién hizo la prueba y quién no.</w:t>
      </w:r>
    </w:p>
    <w:p>
      <w:pPr>
        <w:spacing w:before="200" w:after="60"/>
      </w:pPr>
      <w:r>
        <w:rPr>
          <w:b/>
          <w:color w:val="1A1C1D"/>
          <w:sz w:val="32"/>
        </w:rPr>
        <w:t>Lo que hizo vale más que lo que dijo, y el patrón vale más que el caso - diapositivas 5 y 6</w:t>
      </w:r>
    </w:p>
    <w:p>
      <w:r>
        <w:rPr>
          <w:b w:val="0"/>
          <w:color w:val="4A4A49"/>
          <w:sz w:val="22"/>
        </w:rPr>
        <w:t>Proyectado en la lamina «La pregunta de entrada: «no, ahí no, toca acá» (2/2)» (2 vinetas).</w:t>
      </w:r>
    </w:p>
    <w:p>
      <w:pPr>
        <w:spacing w:before="200" w:after="60"/>
      </w:pPr>
      <w:r>
        <w:rPr>
          <w:b/>
          <w:color w:val="1A1C1D"/>
          <w:sz w:val="32"/>
        </w:rPr>
        <w:t>Qué es un avance: cinco minutos que no repiten nada - diapositiva 7</w:t>
      </w:r>
    </w:p>
    <w:p>
      <w:r>
        <w:rPr>
          <w:b w:val="0"/>
          <w:color w:val="4A4A49"/>
          <w:sz w:val="22"/>
        </w:rPr>
        <w:t>Proyectado en la lamina «Lo que hizo vale más que lo que dijo, y el patrón vale más que el caso (1/3)» (6 vinetas).</w:t>
      </w:r>
    </w:p>
    <w:p>
      <w:pPr>
        <w:pStyle w:val="ListBullet"/>
      </w:pPr>
      <w:r>
        <w:rPr>
          <w:b w:val="0"/>
          <w:color w:val="4A4A49"/>
          <w:sz w:val="22"/>
        </w:rPr>
        <w:t xml:space="preserve">Por eso en la industria se observa y se cronometra, en vez de preguntar «¿le gustó?» — exactamente la trampa que vieron en la sesión 8. </w:t>
      </w:r>
      <w:r>
        <w:rPr>
          <w:b/>
          <w:color w:val="4A4A49"/>
          <w:sz w:val="22"/>
        </w:rPr>
        <w:t>Paso 2: escribir el tropiezo, no la solución.</w:t>
      </w:r>
      <w:r>
        <w:rPr>
          <w:b w:val="0"/>
          <w:color w:val="4A4A49"/>
          <w:sz w:val="22"/>
        </w:rPr>
        <w:t xml:space="preserve"> Los estudiantes van a saltar directo a arreglar.</w:t>
      </w:r>
    </w:p>
    <w:p>
      <w:pPr>
        <w:pStyle w:val="ListBullet"/>
      </w:pPr>
      <w:r>
        <w:rPr>
          <w:b w:val="0"/>
          <w:color w:val="4A4A49"/>
          <w:sz w:val="22"/>
        </w:rPr>
        <w:t>Uno de flujo exige reordenar pantallas.</w:t>
      </w:r>
    </w:p>
    <w:p>
      <w:pPr>
        <w:pStyle w:val="ListBullet"/>
      </w:pPr>
      <w:r>
        <w:rPr>
          <w:b w:val="0"/>
          <w:color w:val="4A4A49"/>
          <w:sz w:val="22"/>
        </w:rPr>
        <w:t>Eso ya lo practicaron con el alcance mínimo de la sesión 8 y con los descartes de la sesión 11: es la misma disciplina.</w:t>
      </w:r>
    </w:p>
    <w:p>
      <w:pPr>
        <w:spacing w:before="200" w:after="60"/>
      </w:pPr>
      <w:r>
        <w:rPr>
          <w:b/>
          <w:color w:val="1A1C1D"/>
          <w:sz w:val="32"/>
        </w:rPr>
        <w:t>Dar y recibir: la única revisión externa gratis del semestre - diapositivas 8 y 9</w:t>
      </w:r>
    </w:p>
    <w:p>
      <w:r>
        <w:rPr>
          <w:b w:val="0"/>
          <w:color w:val="4A4A49"/>
          <w:sz w:val="22"/>
        </w:rPr>
        <w:t>Proyectado en la lamina «Lo que hizo vale más que lo que dijo, y el patrón vale más que el caso (2/3)»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La pregunta de entrada: «no, ahí no, toca acá» (1/2)</w:t>
      </w:r>
    </w:p>
    <w:p>
      <w:pPr>
        <w:pStyle w:val="ListNumber"/>
      </w:pPr>
      <w:r>
        <w:rPr>
          <w:b w:val="0"/>
          <w:color w:val="4A4A49"/>
          <w:sz w:val="22"/>
        </w:rPr>
        <w:t>La pregunta de entrada: «no, ahí no, toca acá» (2/2)</w:t>
      </w:r>
    </w:p>
    <w:p>
      <w:pPr>
        <w:pStyle w:val="ListNumber"/>
      </w:pPr>
      <w:r>
        <w:rPr>
          <w:b w:val="0"/>
          <w:color w:val="4A4A49"/>
          <w:sz w:val="22"/>
        </w:rPr>
        <w:t>Lo que hizo vale más que lo que dijo, y el patrón vale más que el caso (1/3)</w:t>
      </w:r>
    </w:p>
    <w:p>
      <w:pPr>
        <w:pStyle w:val="ListNumber"/>
      </w:pPr>
      <w:r>
        <w:rPr>
          <w:b w:val="0"/>
          <w:color w:val="4A4A49"/>
          <w:sz w:val="22"/>
        </w:rPr>
        <w:t>Lo que hizo vale más que lo que dijo, y el patrón vale más que el caso (2/3)</w:t>
      </w:r>
    </w:p>
    <w:p>
      <w:pPr>
        <w:pStyle w:val="ListNumber"/>
      </w:pPr>
      <w:r>
        <w:rPr>
          <w:b w:val="0"/>
          <w:color w:val="4A4A49"/>
          <w:sz w:val="22"/>
        </w:rPr>
        <w:t>Lo que hizo vale más que lo que dijo, y el patrón vale más que el caso (3/3)</w:t>
      </w:r>
    </w:p>
    <w:p>
      <w:pPr>
        <w:pStyle w:val="ListNumber"/>
      </w:pPr>
      <w:r>
        <w:rPr>
          <w:b w:val="0"/>
          <w:color w:val="4A4A49"/>
          <w:sz w:val="22"/>
        </w:rPr>
        <w:t>Qué es un avance: cinco minutos que no repiten nada (1/2)</w:t>
      </w:r>
    </w:p>
    <w:p>
      <w:pPr>
        <w:pStyle w:val="ListNumber"/>
      </w:pPr>
      <w:r>
        <w:rPr>
          <w:b w:val="0"/>
          <w:color w:val="4A4A49"/>
          <w:sz w:val="22"/>
        </w:rPr>
        <w:t>Qué es un avance: cinco minutos que no repiten nada (2/2)</w:t>
      </w:r>
    </w:p>
    <w:p>
      <w:pPr>
        <w:pStyle w:val="ListNumber"/>
      </w:pPr>
      <w:r>
        <w:rPr>
          <w:b w:val="0"/>
          <w:color w:val="4A4A49"/>
          <w:sz w:val="22"/>
        </w:rPr>
        <w:t>Dar y recibir: la única revisión externa gratis del semestre (1/2)</w:t>
      </w:r>
    </w:p>
    <w:p>
      <w:pPr>
        <w:pStyle w:val="ListNumber"/>
      </w:pPr>
      <w:r>
        <w:rPr>
          <w:b w:val="0"/>
          <w:color w:val="4A4A49"/>
          <w:sz w:val="22"/>
        </w:rPr>
        <w:t>Dar y recibir: la única revisión externa gratis del semestre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