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Registrar mascota pasa la prueba, porque la recepcionista de Huellitas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VetCare termina con cuarenta casos de uso inutiles en vez de seis u ocho casos de uso reales.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en VetCare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diagrama de casos de uso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diagrama de casos de uso de VetCare con su limite de sistema y la especificacion textual completa de Registrar mascota y Buscar expediente.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