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2 — ADR modelo de servicio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modelo IaaS/PaaS/SaaS define quién opera SO, runtime y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ADR, el PI no puede justificar trade-offs en sustentación ni en parciales.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Decidir modelo dominante (IaaS/PaaS/SaaS) para CloudLite + ADR breve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ADR-001: decisión de modelo de servicio + matriz de comparación aplicada al dominio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Partir de la ficha/C4 de Clase 1 (mismo dominio).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MVP académico típico: PaaS conceptual + SaaS satélite (auth/email).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(opcional)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relea su ficha y su C4 Context de la Clase 1. No cambie de dominio: las preguntas 5 a 7 se califican sobre el mismo sistema, y el ADR que redacte hoy se reutiliza en el informe del PI y en la sustentacion de la Clase 15.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construya en la pregunta 5 la matriz `Criterio | IaaS | PaaS | SaaS` con las cuatro filas en orden (control, costo cualitativo, operacion, time-to-demo) y maximo 2 lineas por celda; verifique que cada celda nombre una capacidad o una restriccion de SU dominio, y que la fila de operacion no afirme que en PaaS o SaaS usted deja de responder por su propia aplicacion.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redacte en la pregunta 6 el ADR-001 con titulo, estado con fecha, la decision en UNA sola frase con UN modelo dominante, y exactamente 2 alternativas descartadas con el motivo atado a su dominio; verifique que la seccion de decision no nombre dos modelos, porque en ese caso vale cero.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 en la pregunta 7 las consecuencias en los tres ejes (operacion, costo y aprendizaje), con al menos una positiva y una negativa por eje marcadas con + y -, y verifique que al menos una negativa hable de amarre al proveedor o de perdida de control; guarde y continue, que la actividad se entrega completa al cierre del corte.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decisión nombra un modelo dominante (no un poco de todo)?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al menos dos alternativas descartadas con razón?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¿Consecuencias incluyen operación, costo y aprendizaje?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5 a 7 de la actividad del Corte 1. El estudiante compara IaaS, PaaS y SaaS sobre las capacidades de su propio dominio, decide un modelo dominante y lo documenta como ADR-001 con sus alternativas descartadas y sus consecuencias.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3 preguntas y suman 24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(6.25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IaaS / PaaS / SaaS para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(12.5 pts):</w:t>
      </w:r>
      <w:r>
        <w:rPr>
          <w:rFonts w:ascii="Calibri" w:hAnsi="Calibri" w:eastAsia="Calibri"/>
          <w:b w:val="0"/>
          <w:color w:val="2B2B2B"/>
          <w:sz w:val="22"/>
        </w:rPr>
        <w:t xml:space="preserve"> ADR-001: modelo de servicio dominante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7 - Respuesta escrita (6.25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Consecuencias del ADR-001.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