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Proyectado en la lamina «La pregunta de entrada: «no, ahí no, toca acá» (1/2)» (6 vinetas).</w:t>
      </w:r>
    </w:p>
    <w:p>
      <w:pPr>
        <w:pStyle w:val="ListBullet"/>
      </w:pPr>
      <w:r>
        <w:rPr>
          <w:b w:val="0"/>
          <w:color w:val="4A4A49"/>
          <w:sz w:val="22"/>
        </w:rPr>
        <w:t xml:space="preserve">Vale la pena decirlo con una frase que se les quede: </w:t>
      </w:r>
      <w:r>
        <w:rPr>
          <w:b/>
          <w:color w:val="4A4A49"/>
          <w:sz w:val="22"/>
        </w:rPr>
        <w:t>la persona que prueba nunca se equivoca; si se perdió, el diseño la perdió.</w:t>
      </w:r>
      <w:r>
        <w:rPr>
          <w:b w:val="0"/>
          <w:color w:val="4A4A49"/>
          <w:sz w:val="22"/>
        </w:rPr>
        <w:t xml:space="preserve"> Aproveche la apertura para tomar el pulso operativo: en el muro, cada equipo escribe </w:t>
      </w:r>
      <w:r>
        <w:rPr>
          <w:b/>
          <w:color w:val="4A4A49"/>
          <w:sz w:val="22"/>
        </w:rPr>
        <w:t>cuántas veces tuvo que intervenir</w:t>
      </w:r>
      <w:r>
        <w:rPr>
          <w:b w:val="0"/>
          <w:color w:val="4A4A49"/>
          <w:sz w:val="22"/>
        </w:rPr>
        <w:t>.</w:t>
      </w:r>
    </w:p>
    <w:p>
      <w:pPr>
        <w:spacing w:before="200" w:after="60"/>
      </w:pPr>
      <w:r>
        <w:rPr>
          <w:b/>
          <w:color w:val="1A1C1D"/>
          <w:sz w:val="32"/>
        </w:rPr>
        <w:t>Lo que hizo vale más que lo que dijo, y el patrón vale más que el caso - diapositivas 5 y 6</w:t>
      </w:r>
    </w:p>
    <w:p>
      <w:r>
        <w:rPr>
          <w:b w:val="0"/>
          <w:color w:val="4A4A49"/>
          <w:sz w:val="22"/>
        </w:rPr>
        <w:t>Proyectado en la lamina «La pregunta de entrada: «no, ahí no, toca acá» (2/2)» (3 vinetas).</w:t>
      </w:r>
    </w:p>
    <w:p>
      <w:pPr>
        <w:spacing w:before="200" w:after="60"/>
      </w:pPr>
      <w:r>
        <w:rPr>
          <w:b/>
          <w:color w:val="1A1C1D"/>
          <w:sz w:val="32"/>
        </w:rPr>
        <w:t>Qué es un avance: cinco minutos que no repiten nada - diapositiva 7</w:t>
      </w:r>
    </w:p>
    <w:p>
      <w:r>
        <w:rPr>
          <w:b w:val="0"/>
          <w:color w:val="4A4A49"/>
          <w:sz w:val="22"/>
        </w:rPr>
        <w:t>Proyectado en la lamina «Lo que hizo vale más que lo que dijo, y el patrón vale más que el caso (1/3)» (7 vinetas).</w:t>
      </w:r>
    </w:p>
    <w:p>
      <w:pPr>
        <w:spacing w:before="200" w:after="60"/>
      </w:pPr>
      <w:r>
        <w:rPr>
          <w:b/>
          <w:color w:val="1A1C1D"/>
          <w:sz w:val="32"/>
        </w:rPr>
        <w:t>Dar y recibir: la única revisión externa gratis del semestre - diapositivas 8 y 9</w:t>
      </w:r>
    </w:p>
    <w:p>
      <w:r>
        <w:rPr>
          <w:b w:val="0"/>
          <w:color w:val="4A4A49"/>
          <w:sz w:val="22"/>
        </w:rPr>
        <w:t>Proyectado en la lamina «Lo que hizo vale más que lo que dijo, y el patrón vale más que el caso (2/3)» (7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La pregunta de entrada: «no, ahí no, toca acá» (1/2)</w:t>
      </w:r>
    </w:p>
    <w:p>
      <w:pPr>
        <w:pStyle w:val="ListNumber"/>
      </w:pPr>
      <w:r>
        <w:rPr>
          <w:b w:val="0"/>
          <w:color w:val="4A4A49"/>
          <w:sz w:val="22"/>
        </w:rPr>
        <w:t>La pregunta de entrada: «no, ahí no, toca acá» (2/2)</w:t>
      </w:r>
    </w:p>
    <w:p>
      <w:pPr>
        <w:pStyle w:val="ListNumber"/>
      </w:pPr>
      <w:r>
        <w:rPr>
          <w:b w:val="0"/>
          <w:color w:val="4A4A49"/>
          <w:sz w:val="22"/>
        </w:rPr>
        <w:t>Lo que hizo vale más que lo que dijo, y el patrón vale más que el caso (1/3)</w:t>
      </w:r>
    </w:p>
    <w:p>
      <w:pPr>
        <w:pStyle w:val="ListNumber"/>
      </w:pPr>
      <w:r>
        <w:rPr>
          <w:b w:val="0"/>
          <w:color w:val="4A4A49"/>
          <w:sz w:val="22"/>
        </w:rPr>
        <w:t>Lo que hizo vale más que lo que dijo, y el patrón vale más que el caso (2/3)</w:t>
      </w:r>
    </w:p>
    <w:p>
      <w:pPr>
        <w:pStyle w:val="ListNumber"/>
      </w:pPr>
      <w:r>
        <w:rPr>
          <w:b w:val="0"/>
          <w:color w:val="4A4A49"/>
          <w:sz w:val="22"/>
        </w:rPr>
        <w:t>Lo que hizo vale más que lo que dijo, y el patrón vale más que el caso (3/3)</w:t>
      </w:r>
    </w:p>
    <w:p>
      <w:pPr>
        <w:pStyle w:val="ListNumber"/>
      </w:pPr>
      <w:r>
        <w:rPr>
          <w:b w:val="0"/>
          <w:color w:val="4A4A49"/>
          <w:sz w:val="22"/>
        </w:rPr>
        <w:t>Qué es un avance: cinco minutos que no repiten nada (1/2)</w:t>
      </w:r>
    </w:p>
    <w:p>
      <w:pPr>
        <w:pStyle w:val="ListNumber"/>
      </w:pPr>
      <w:r>
        <w:rPr>
          <w:b w:val="0"/>
          <w:color w:val="4A4A49"/>
          <w:sz w:val="22"/>
        </w:rPr>
        <w:t>Qué es un avance: cinco minutos que no repiten nada (2/2)</w:t>
      </w:r>
    </w:p>
    <w:p>
      <w:pPr>
        <w:pStyle w:val="ListNumber"/>
      </w:pPr>
      <w:r>
        <w:rPr>
          <w:b w:val="0"/>
          <w:color w:val="4A4A49"/>
          <w:sz w:val="22"/>
        </w:rPr>
        <w:t>Dar y recibir: la única revisión externa gratis del semestre (1/2)</w:t>
      </w:r>
    </w:p>
    <w:p>
      <w:pPr>
        <w:pStyle w:val="ListNumber"/>
      </w:pPr>
      <w:r>
        <w:rPr>
          <w:b w:val="0"/>
          <w:color w:val="4A4A49"/>
          <w:sz w:val="22"/>
        </w:rPr>
        <w:t>Dar y recibir: la única revisión externa gratis del semestre (2/2)</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