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paquete de diseño no es una carpeta de archivos sueltos: es un...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La herramienta central para eso es la trazabilidad, y se verifica en...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herramienta central para eso es la trazabilidad, y se verifica 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eje de la auditoria es el lenguaje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segundo eje de la auditoria es el lenguaje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revision entre pares se hace con reglas o no sirve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Todo lo que se encuentra se convierte en backlog de deuda de diseño, no...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paquete de diseño de VetCare queda auditado y consistente: requisitos, casos de uso y diagrama de clases usan los mismos nombres y no se contradicen entre si.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