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10 - Persistencia Básica (Archivos I/O)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listas para copiarse 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¿Por qué perdemos la información de las colecciones (ej. HashMap o ArrayList) cuando cerramos nuestra aplicación Java?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Porque Java tiene un error de diseño de fábrica que borra los datos.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Porque las colecciones almacenan los datos temporalmente en la memoria RAM, la cual es volátil.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Porque el recolector de basura las borra si no pagamos una licencia.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Porque el Disco Duro elimina las colecciones automáticamente.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Java, la interacción con archivos físicos en el disco duro genera riesgo de error (ej. el archivo no existe o está bloqueado). ¿A qué obliga Java al programador cuando usa clases de lectura/escritura como FileWriter?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envolver el código en un bloque try-catch obligatorio (capturando IOException).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escribir el código todo en mayúsculas.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reiniciar la computadora antes de compilar.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usar exclusivamente la Interfaz Gráfica.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formato .csv es un estándar mundial para guardar datos tabulares en texto plano. ¿Qué significan las siglas CSV?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Computer System Virtualization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Custom String Variables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Comma-Separated Values (Valores separados por comas).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Code Separation Validation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¿Cuál es el propósito del método .write() de la clase FileWriter?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Abrir un cuadro de diálogo para que el usuario escriba.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Convertir código Java a lenguaje de máquina.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Escribir físicamente cadenas de texto (Strings) dentro del archivo en el disco duro.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Leer la primera línea de un documento de Excel.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usamos la clase Scanner para leer una línea de nuestro archivo .csv y obtenemos el texto "101,Firulais,Perro", ¿qué método de la clase String utilizamos para dividir esa línea en sus 3 componentes individuales?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.cut(",")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.split(",")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.divide(",")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.parse(",")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