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8 - Pruebas Unitarias (Introducción a JUnit)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(Patrones Singleton y Factory).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Importancia del QA, Pruebas Automatizadas vs Manuales, Introducción a JUnit y Aserciones (Asserts).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Escribiendo y ejecutando pruebas unitarias sobre nuestra clase Mascota en VetCare.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paradigma del QA (Quality Assurance):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"Imaginemos que VetCare ahora tiene 50 módulos: Inventario, Citas, Cirugías, etc. Si yo modifico el código del módulo de Citas, ¿cómo estoy seguro de que no rompí accidentalmente el módulo de Inventario? La forma rudimentaria es abrir la aplicación y hacer pruebas manuales (System.out.println o clics en la GUI). Pero en el mundo corporativo, esto cuesta mucho tiempo y dinero. Aquí entra el Testing Automatizado."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¿Qué es una Prueba Unitaria?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probar la pieza más pequeña de un software (una "unidad", típicamente un solo método) de forma completamente aislada. Si pruebo si un motor enciende, lo pruebo en un banco de pruebas, no con el carro ensamblado.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estándar JUnit: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Explicar que JUnit es una librería externa (framework) que se ha convertido en el estándar mundial para Java. Introduce el concepto de </w:t>
      </w:r>
      <w:r w:rsidDel="00000000" w:rsidR="00000000" w:rsidRPr="00000000">
        <w:rPr>
          <w:rFonts w:ascii="Google Sans" w:cs="Google Sans" w:eastAsia="Google Sans" w:hAnsi="Google Sans"/>
          <w:b w:val="1"/>
          <w:bCs w:val="1"/>
          <w:color w:val="1f1f1f"/>
          <w:rtl w:val="0"/>
        </w:rPr>
        <w:t xml:space="preserve">Anotaciones</w:t>
      </w:r>
      <w:r w:rsidDel="00000000" w:rsidR="00000000" w:rsidRPr="00000000">
        <w:rPr>
          <w:rFonts w:ascii="Google Sans" w:cs="Google Sans" w:eastAsia="Google Sans" w:hAnsi="Google Sans"/>
          <w:color w:val="1f1f1f"/>
          <w:rtl w:val="0"/>
        </w:rPr>
        <w:t xml:space="preserve">, específicamente @Test, que le advierte a la máquina virtual de Java que ese método es una prueba y no debe ejecutarse en el flujo normal de la aplicación.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Hacer énfasis en los Asserts (Aserciones). Una aserción es una afirmación categórica: </w:t>
      </w:r>
      <w:r w:rsidDel="00000000" w:rsidR="00000000" w:rsidRPr="00000000">
        <w:rPr>
          <w:rFonts w:ascii="Google Sans" w:cs="Google Sans" w:eastAsia="Google Sans" w:hAnsi="Google Sans"/>
          <w:i w:val="1"/>
          <w:iCs w:val="1"/>
          <w:color w:val="1f1f1f"/>
          <w:rtl w:val="0"/>
        </w:rPr>
        <w:t xml:space="preserve">"Afirmo categóricamente que 2 + 2 es igual a 4. Si no es así, lanza una alerta roja"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 a los estudiantes que para este bloque es vital prestar atención al entorno. En un IDE local (NetBeans, IntelliJ), usualmente hacemos clic derecho en la clase -&gt; "Crear Test Case", lo que importa JUnit automáticamente. Si usan JDoodle o entornos en la nube, deben habilitar la opción de "JUnit Test" o agregar la librería.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Estructura del archivo de Pruebas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"Las pruebas nunca se escriben en el mismo archivo del código de producción. Creamos una clase espejo terminada en 'Test', por ejemplo MascotaTest. Y necesitamos estas importaciones:")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org.junit.Test;</w:t>
        <w:br w:type="textWrapping"/>
        <w:t xml:space="preserve">import static org.junit.Assert.*;</w:t>
        <w:br w:type="textWrapping"/>
        <w:br w:type="textWrapping"/>
        <w:t xml:space="preserve">public class MascotaTest {</w:t>
        <w:br w:type="textWrapping"/>
        <w:t xml:space="preserve">    // Aquí vivirán nuestras pruebas</w:t>
        <w:br w:type="textWrapping"/>
        <w:t xml:space="preserve">}</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La Anotación y el Flujo AAA (Arrange, Act, Assert)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"Toda prueba debe llevar @Test. Además, usaremos la metodología de 3 pasos: Preparar el escenario, Actuar (llamar al método) y Asegurar el resultado.")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w:t>
        <w:br w:type="textWrapping"/>
        <w:t xml:space="preserve">public void probarNombreMascota() {</w:t>
        <w:br w:type="textWrapping"/>
        <w:t xml:space="preserve">    // 1. Arrange (Preparar)</w:t>
        <w:br w:type="textWrapping"/>
        <w:t xml:space="preserve">    Mascota paciente = new Mascota(100, "Michi", "Gato");</w:t>
        <w:br w:type="textWrapping"/>
        <w:t xml:space="preserve">    </w:t>
        <w:br w:type="textWrapping"/>
        <w:t xml:space="preserve">    // 2. Act (Actuar)</w:t>
        <w:br w:type="textWrapping"/>
        <w:t xml:space="preserve">    String nombreObtenido = paciente.getNombre();</w:t>
        <w:br w:type="textWrapping"/>
        <w:t xml:space="preserve">    </w:t>
        <w:br w:type="textWrapping"/>
        <w:t xml:space="preserve">    // 3. Assert (Aserción - Lo que espero vs lo que el código me dio)</w:t>
        <w:br w:type="textWrapping"/>
        <w:t xml:space="preserve">    assertEquals("Michi", nombreObtenido);</w:t>
        <w:br w:type="textWrapping"/>
        <w:t xml:space="preserve">}</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Probando la Lógica (Lanzar el Test)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"Si ejecutamos esto usando el corredor de pruebas del IDE, veremos una barra Verde gloriosa. Pero, ¿qué pasa si cambiamos la aserción esperando 'Firulais'? Veremos una alerta Roja indicando que la prueba falló. Esto salva vidas en producción.")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 del estudiante: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Creación de una clase llamada MascotaTest (usando las herramientas de Test del IDE o importando JUnit).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Escribir un método de prueba @Test llamado testCrearMascota() que instancie la clase Mascota y valide con assertEquals que el nombre y la especie se asignaron correctamente.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Escribir un segundo método @Test llamado testActualizarNombre() que instancie la mascota, utilice el método setNombre("NuevoNombre"), y luego valide usando assertEquals que el nombre efectivamente cambió.</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Ejecutar el archivo completo como "Test" y verificar que las barras salgan en Verde.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de solución está disponible en el archivo de Código de la Clase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