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8] Latencia, throughput y concurrencia: la identidad que las une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el entregable de hoy exige un objetivo con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10]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12]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14]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16]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18]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19]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20]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22]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25]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Paquete de entrega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Paquete de entrega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en la plataforma del curso</w:t>
      </w:r>
      <w:r>
        <w:rPr>
          <w:b w:val="0"/>
          <w:color w:val="4A4A49"/>
          <w:sz w:val="22"/>
        </w:rPr>
        <w:t xml:space="preserve"> [Slide 28]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