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200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Quiz Clase 4 — CLAVE DOCENTE</w:t>
      </w:r>
    </w:p>
    <w:p>
      <w:pPr>
        <w:spacing w:after="120" w:before="0"/>
        <w:jc w:val="center"/>
        <w:shd w:val="clear" w:fill="FBE4E4"/>
      </w:pPr>
      <w:r>
        <w:rPr>
          <w:rFonts w:ascii="Calibri" w:hAnsi="Calibri" w:eastAsia="Calibri"/>
          <w:b/>
          <w:color w:val="A02030"/>
          <w:sz w:val="20"/>
        </w:rPr>
        <w:t>DOCUMENTO DOCENTE — PRIVADO. No proyectar en Presentacion.pptx.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Pregunta 1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¿Cuándo preferiría un monolito modular en CloudLite?</w:t>
      </w:r>
    </w:p>
    <w:p>
      <w:pPr>
        <w:spacing w:after="120" w:before="0"/>
        <w:jc w:val="left"/>
        <w:shd w:val="clear" w:fill="E8F4FA"/>
      </w:pPr>
      <w:r>
        <w:rPr>
          <w:rFonts w:ascii="Calibri" w:hAnsi="Calibri" w:eastAsia="Calibri"/>
          <w:b w:val="0"/>
          <w:color w:val="2B2B2B"/>
          <w:sz w:val="22"/>
        </w:rPr>
        <w:t>Respuesta: Equipo pequeño, dominio acotado, menos overhead operativo.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Pregunta 2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¿Qué debe etiquetar una flecha en C4?</w:t>
      </w:r>
    </w:p>
    <w:p>
      <w:pPr>
        <w:spacing w:after="120" w:before="0"/>
        <w:jc w:val="left"/>
        <w:shd w:val="clear" w:fill="E8F4FA"/>
      </w:pPr>
      <w:r>
        <w:rPr>
          <w:rFonts w:ascii="Calibri" w:hAnsi="Calibri" w:eastAsia="Calibri"/>
          <w:b w:val="0"/>
          <w:color w:val="2B2B2B"/>
          <w:sz w:val="22"/>
        </w:rPr>
        <w:t>Respuesta: Protocolo Y formato («HTTPS/JSON», «TCP/SQL»), no solo «usa». Una flecha muda no cuenta.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Pregunta 3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¿Cómo se marca una base de datos en un C4 Container en Mermaid?</w:t>
      </w:r>
    </w:p>
    <w:p>
      <w:pPr>
        <w:spacing w:after="120" w:before="0"/>
        <w:jc w:val="left"/>
        <w:shd w:val="clear" w:fill="E8F4FA"/>
      </w:pPr>
      <w:r>
        <w:rPr>
          <w:rFonts w:ascii="Calibri" w:hAnsi="Calibri" w:eastAsia="Calibri"/>
          <w:b w:val="0"/>
          <w:color w:val="2B2B2B"/>
          <w:sz w:val="22"/>
        </w:rPr>
        <w:t>Respuesta: Con «ContainerDb(...)», no con «Container(...)»: es un almacén, no un servicio.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Pregunta 4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Cite un riesgo de sistemas distribuidos.</w:t>
      </w:r>
    </w:p>
    <w:p>
      <w:pPr>
        <w:spacing w:after="120" w:before="0"/>
        <w:jc w:val="left"/>
        <w:shd w:val="clear" w:fill="E8F4FA"/>
      </w:pPr>
      <w:r>
        <w:rPr>
          <w:rFonts w:ascii="Calibri" w:hAnsi="Calibri" w:eastAsia="Calibri"/>
          <w:b w:val="0"/>
          <w:color w:val="2B2B2B"/>
          <w:sz w:val="22"/>
        </w:rPr>
        <w:t>Respuesta: Debe nombrar una caja, un salto de red o un dato escrito en dos pasos. «Es más complejo» no cuenta.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