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escalabilidad no es rendimiento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puede ser rapido y no escalar, y puede escalar y ser lento.</w:t>
      </w:r>
    </w:p>
    <w:p>
      <w:pPr>
        <w:pStyle w:val="ListBullet2"/>
      </w:pPr>
      <w:r>
        <w:rPr>
          <w:b w:val="0"/>
          <w:color w:val="4A4A49"/>
          <w:sz w:val="22"/>
        </w:rPr>
        <w:t>Por eso el orden del temario no es casual: primero se mide y se identifica el cuello de botella, y solo despues se decide como agregar capacidad.</w:t>
      </w:r>
    </w:p>
    <w:p>
      <w:r>
        <w:rPr>
          <w:b/>
          <w:color w:val="4A4A49"/>
          <w:sz w:val="22"/>
        </w:rPr>
        <w:t>[Slide 7] Escalar vertical y horizontalmente: las dos formas de agregar capacidad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Ademas una sola maquina grande sigue siendo un unico punto de falla.</w:t>
      </w:r>
    </w:p>
    <w:p>
      <w:pPr>
        <w:pStyle w:val="ListBullet2"/>
      </w:pPr>
      <w:r>
        <w:rPr>
          <w:b w:val="0"/>
          <w:color w:val="4A4A49"/>
          <w:sz w:val="22"/>
        </w:rPr>
        <w:t>No tiene techo cercano, mejora la disponibilidad porque si una instancia muere las otras siguen atendiendo, y permite crecer en pasos pequenos y baratos.</w:t>
      </w:r>
    </w:p>
    <w:p>
      <w:r>
        <w:rPr>
          <w:b/>
          <w:color w:val="4A4A49"/>
          <w:sz w:val="22"/>
        </w:rPr>
        <w:t>[Slide 8] Escalar vertical y horizontalmente: las dos formas de agregar capacidad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Ausencia de estado: donde mas estudiantes fallan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servicio sin estado no guarda en la memoria de su propio proceso ninguna informacion que necesite en la siguiente peticion; todo lo que deba persistir vive en un almacen compartido, sea la base de datos, una cache comun o el token que trae el cliente.</w:t>
      </w:r>
    </w:p>
    <w:p>
      <w:r>
        <w:rPr>
          <w:b/>
          <w:color w:val="4A4A49"/>
          <w:sz w:val="22"/>
        </w:rPr>
        <w:t>[Slide 10] Ausencia de estado: donde mas estudiantes fallan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11] Las cinco piezas que el entregable debe nombrar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Cada numero se justifica.</w:t>
      </w:r>
    </w:p>
    <w:p>
      <w:r>
        <w:rPr>
          <w:b/>
          <w:color w:val="4A4A49"/>
          <w:sz w:val="22"/>
        </w:rPr>
        <w:t>[Slide 12] Las cinco piezas que el entregable debe nombrar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El limite fisico: la instancia nueva no aparece al instante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El limite fisico: la instancia nueva no aparece al instante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Elegir la metrica: la decision mas fina del tema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Regla de bolsillo: la metrica correcta es la que mide el recurso que se agota primero, es decir el cuello de botella identificado en la clase anterior.</w:t>
      </w:r>
    </w:p>
    <w:p>
      <w:pPr>
        <w:pStyle w:val="ListBullet2"/>
      </w:pPr>
      <w:r>
        <w:rPr>
          <w:b w:val="0"/>
          <w:color w:val="4A4A49"/>
          <w:sz w:val="22"/>
        </w:rPr>
        <w:t>De ahi que el entregable de hoy no se pueda hacer bien si el de la Clase 12 quedo vacio.</w:t>
      </w:r>
    </w:p>
    <w:p>
      <w:r>
        <w:rPr>
          <w:b/>
          <w:color w:val="4A4A49"/>
          <w:sz w:val="22"/>
        </w:rPr>
        <w:t>[Slide 16] Elegir la metrica: la decision mas fina del tema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Lo que NO escala: la mitad del entregable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 que NO escala es la mitad del entregable y separa una sustentacion seria de una lista de deseos.</w:t>
      </w:r>
    </w:p>
    <w:p>
      <w:pPr>
        <w:pStyle w:val="ListBullet2"/>
      </w:pPr>
      <w:r>
        <w:rPr>
          <w:b w:val="0"/>
          <w:color w:val="4A4A49"/>
          <w:sz w:val="22"/>
        </w:rPr>
        <w:t>Multiplicar la capa sin verificar el limite del recurso compartido no mejora el sistema, lo rompe.</w:t>
      </w:r>
    </w:p>
    <w:p>
      <w:r>
        <w:rPr>
          <w:b/>
          <w:color w:val="4A4A49"/>
          <w:sz w:val="22"/>
        </w:rPr>
        <w:t>[Slide 18] Lo que NO escala: la mitad del entregable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Preguntas frecuentes y cierre conceptual ()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sin falta en una clase autonoma como esta y conviene responderlas por escrito en el foro.</w:t>
      </w:r>
    </w:p>
    <w:p>
      <w:r>
        <w:rPr>
          <w:b/>
          <w:color w:val="4A4A49"/>
          <w:sz w:val="22"/>
        </w:rPr>
        <w:t>[Slide 20] Preguntas frecuentes y cierre conceptual ()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Preguntas frecuentes y cierre conceptual ()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22] Preguntas frecuentes y cierre conceptual () (4/4)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regla de autoescalado, escrita como configuracion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(1/2)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(2/2)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(1/2)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(2/2)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(1/2)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(2/2)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(1/2)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(2/2)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(1/2)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(2/2)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(1/2)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La regla de autoescalado, escrita como configuracion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Clase 13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plataforma del curso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la plataforma del curso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