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 (1/2)</w:t>
      </w:r>
      <w:r>
        <w:rPr>
          <w:b w:val="0"/>
          <w:color w:val="4A4A49"/>
          <w:sz w:val="22"/>
        </w:rPr>
        <w:t xml:space="preserve"> — 5 vinetas.</w:t>
      </w:r>
    </w:p>
    <w:p>
      <w:r>
        <w:rPr>
          <w:b/>
          <w:color w:val="4A4A49"/>
          <w:sz w:val="22"/>
        </w:rPr>
        <w:t>[Slide 5] Clase autonoma: este texto es fundamento y guia a la vez (2/2)</w:t>
      </w:r>
      <w:r>
        <w:rPr>
          <w:b w:val="0"/>
          <w:color w:val="4A4A49"/>
          <w:sz w:val="22"/>
        </w:rPr>
        <w:t xml:space="preserve"> — 3 vinetas.</w:t>
      </w:r>
    </w:p>
    <w:p>
      <w:r>
        <w:rPr>
          <w:b/>
          <w:color w:val="4A4A49"/>
          <w:sz w:val="22"/>
        </w:rPr>
        <w:t>[Slide 6] Causa proxima y causa raiz: la distincion que separa el analisis de la anecdota (1/2)</w:t>
      </w:r>
      <w:r>
        <w:rPr>
          <w:b w:val="0"/>
          <w:color w:val="4A4A49"/>
          <w:sz w:val="22"/>
        </w:rPr>
        <w:t xml:space="preserve"> — 6 vinetas.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7] Causa proxima y causa raiz: la distincion que separa el analisis de la anecdota (2/2)</w:t>
      </w:r>
      <w:r>
        <w:rPr>
          <w:b w:val="0"/>
          <w:color w:val="4A4A49"/>
          <w:sz w:val="22"/>
        </w:rPr>
        <w:t xml:space="preserve"> — 4 vinetas.</w:t>
      </w:r>
    </w:p>
    <w:p>
      <w:r>
        <w:rPr>
          <w:b/>
          <w:color w:val="4A4A49"/>
          <w:sz w:val="22"/>
        </w:rPr>
        <w:t>[Slide 8] Caso uno: el respaldo que nunca se restauro (GitLab, 2017) (1/2)</w:t>
      </w:r>
      <w:r>
        <w:rPr>
          <w:b w:val="0"/>
          <w:color w:val="4A4A49"/>
          <w:sz w:val="22"/>
        </w:rPr>
        <w:t xml:space="preserve"> — 4 vinetas.</w:t>
      </w:r>
    </w:p>
    <w:p>
      <w:pPr>
        <w:pStyle w:val="ListBullet2"/>
      </w:pPr>
      <w:r>
        <w:rPr>
          <w:b w:val="0"/>
          <w:color w:val="4A4A49"/>
          <w:sz w:val="22"/>
        </w:rPr>
        <w:t>Eso es la causa proxima.</w:t>
      </w:r>
    </w:p>
    <w:p>
      <w:pPr>
        <w:pStyle w:val="ListBullet2"/>
      </w:pPr>
      <w:r>
        <w:rPr>
          <w:b w:val="0"/>
          <w:color w:val="4A4A49"/>
          <w:sz w:val="22"/>
        </w:rPr>
        <w:t>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w:t>
      </w:r>
    </w:p>
    <w:p>
      <w:pPr>
        <w:pStyle w:val="ListBullet2"/>
      </w:pPr>
      <w:r>
        <w:rPr>
          <w:b w:val="0"/>
          <w:color w:val="4A4A49"/>
          <w:sz w:val="22"/>
        </w:rPr>
        <w:t>Terminaron restaurando desde una copia de trabajo de unas seis horas antes y perdieron de forma definitiva la informacion creada en esa ventana, del orden de miles de proyectos y comentarios.</w:t>
      </w:r>
    </w:p>
    <w:p>
      <w:r>
        <w:rPr>
          <w:b/>
          <w:color w:val="4A4A49"/>
          <w:sz w:val="22"/>
        </w:rPr>
        <w:t>[Slide 9] Caso uno: el respaldo que nunca se restauro (GitLab, 2017) (2/2)</w:t>
      </w:r>
      <w:r>
        <w:rPr>
          <w:b w:val="0"/>
          <w:color w:val="4A4A49"/>
          <w:sz w:val="22"/>
        </w:rPr>
        <w:t xml:space="preserve"> — 3 vinetas.</w:t>
      </w:r>
    </w:p>
    <w:p>
      <w:r>
        <w:rPr>
          <w:b/>
          <w:color w:val="4A4A49"/>
          <w:sz w:val="22"/>
        </w:rPr>
        <w:t>[Slide 10] Caso dos: permisos excesivos (Capital One, 2019) (1/2)</w:t>
      </w:r>
      <w:r>
        <w:rPr>
          <w:b w:val="0"/>
          <w:color w:val="4A4A49"/>
          <w:sz w:val="22"/>
        </w:rPr>
        <w:t xml:space="preserve"> — 3 vinetas.</w:t>
      </w:r>
    </w:p>
    <w:p>
      <w:pPr>
        <w:pStyle w:val="ListBullet2"/>
      </w:pPr>
      <w:r>
        <w:rPr>
          <w:b w:val="0"/>
          <w:color w:val="4A4A49"/>
          <w:sz w:val="22"/>
        </w:rPr>
        <w:t>Caso dos, permisos excesivos.</w:t>
      </w:r>
    </w:p>
    <w:p>
      <w:pPr>
        <w:pStyle w:val="ListBullet2"/>
      </w:pPr>
      <w:r>
        <w:rPr>
          <w:b w:val="0"/>
          <w:color w:val="4A4A49"/>
          <w:sz w:val="22"/>
        </w:rPr>
        <w:t>Y hay que decir la parte incomoda, porque es la que se repite en los proyectos de curso: casi todos los estudiantes hacen que la aplicacion se conecte con un usuario que tiene todo, porque asi nunca aparece un error de permisos y se avanza mas rapido.</w:t>
      </w:r>
    </w:p>
    <w:p>
      <w:r>
        <w:rPr>
          <w:b/>
          <w:color w:val="4A4A49"/>
          <w:sz w:val="22"/>
        </w:rPr>
        <w:t>[Slide 11] Caso dos: permisos excesivos (Capital One, 2019) (2/2)</w:t>
      </w:r>
      <w:r>
        <w:rPr>
          <w:b w:val="0"/>
          <w:color w:val="4A4A49"/>
          <w:sz w:val="22"/>
        </w:rPr>
        <w:t xml:space="preserve"> — 4 vinetas.</w:t>
      </w:r>
    </w:p>
    <w:p>
      <w:r>
        <w:rPr>
          <w:b/>
          <w:color w:val="4A4A49"/>
          <w:sz w:val="22"/>
        </w:rPr>
        <w:t>[Slide 12] Caso tres: perdida de datos en una migracion (MySpace, 2019) (1/2)</w:t>
      </w:r>
      <w:r>
        <w:rPr>
          <w:b w:val="0"/>
          <w:color w:val="4A4A49"/>
          <w:sz w:val="22"/>
        </w:rPr>
        <w:t xml:space="preserve"> — 4 vinetas.</w:t>
      </w:r>
    </w:p>
    <w:p>
      <w:pPr>
        <w:pStyle w:val="ListBullet2"/>
      </w:pPr>
      <w:r>
        <w:rPr>
          <w:b w:val="0"/>
          <w:color w:val="4A4A49"/>
          <w:sz w:val="22"/>
        </w:rPr>
        <w:t>Caso tres, perdida de datos durante una migracion.</w:t>
      </w:r>
    </w:p>
    <w:p>
      <w:r>
        <w:rPr>
          <w:b/>
          <w:color w:val="4A4A49"/>
          <w:sz w:val="22"/>
        </w:rPr>
        <w:t>[Slide 13] Caso tres: perdida de datos en una migracion (MySpace, 2019) (2/2)</w:t>
      </w:r>
      <w:r>
        <w:rPr>
          <w:b w:val="0"/>
          <w:color w:val="4A4A49"/>
          <w:sz w:val="22"/>
        </w:rPr>
        <w:t xml:space="preserve"> — 3 vinetas.</w:t>
      </w:r>
    </w:p>
    <w:p>
      <w:r>
        <w:rPr>
          <w:b/>
          <w:color w:val="4A4A49"/>
          <w:sz w:val="22"/>
        </w:rPr>
        <w:t>[Slide 14] Caso cuatro: concurrencia, el que no llega a los titulares (1/2)</w:t>
      </w:r>
      <w:r>
        <w:rPr>
          <w:b w:val="0"/>
          <w:color w:val="4A4A49"/>
          <w:sz w:val="22"/>
        </w:rPr>
        <w:t xml:space="preserve"> — 5 vinetas.</w:t>
      </w:r>
    </w:p>
    <w:p>
      <w:pPr>
        <w:pStyle w:val="ListBullet2"/>
      </w:pPr>
      <w:r>
        <w:rPr>
          <w:b w:val="0"/>
          <w:color w:val="4A4A49"/>
          <w:sz w:val="22"/>
        </w:rPr>
        <w:t>Caso cuatro, concurrencia.</w:t>
      </w:r>
    </w:p>
    <w:p>
      <w:r>
        <w:rPr>
          <w:b/>
          <w:color w:val="4A4A49"/>
          <w:sz w:val="22"/>
        </w:rPr>
        <w:t>[Slide 15] Caso cuatro: concurrencia, el que no llega a los titulares (2/2)</w:t>
      </w:r>
      <w:r>
        <w:rPr>
          <w:b w:val="0"/>
          <w:color w:val="4A4A49"/>
          <w:sz w:val="22"/>
        </w:rPr>
        <w:t xml:space="preserve"> — 4 vinetas.</w:t>
      </w:r>
    </w:p>
    <w:p>
      <w:r>
        <w:rPr>
          <w:b/>
          <w:color w:val="4A4A49"/>
          <w:sz w:val="22"/>
        </w:rPr>
        <w:t>[Slide 16] Lecciones accionables: los cuatro elementos verificables (1/3)</w:t>
      </w:r>
      <w:r>
        <w:rPr>
          <w:b w:val="0"/>
          <w:color w:val="4A4A49"/>
          <w:sz w:val="22"/>
        </w:rPr>
        <w:t xml:space="preserve"> — 5 vinetas.</w:t>
      </w:r>
    </w:p>
    <w:p>
      <w:pPr>
        <w:pStyle w:val="ListBullet2"/>
      </w:pPr>
      <w:r>
        <w:rPr>
          <w:b w:val="0"/>
          <w:color w:val="4A4A49"/>
          <w:sz w:val="22"/>
        </w:rPr>
        <w:t>Lo que decide la calificacion de hoy no es reunir casos sino escribir lecciones accionables, y esa es la habilidad que el estudiante debe practicar sin ayuda.</w:t>
      </w:r>
    </w:p>
    <w:p>
      <w:pPr>
        <w:pStyle w:val="ListBullet2"/>
      </w:pPr>
      <w:r>
        <w:rPr>
          <w:b w:val="0"/>
          <w:color w:val="4A4A49"/>
          <w:sz w:val="22"/>
        </w:rPr>
        <w:t>Compare las dos versiones.</w:t>
      </w:r>
    </w:p>
    <w:p>
      <w:r>
        <w:rPr>
          <w:b/>
          <w:color w:val="4A4A49"/>
          <w:sz w:val="22"/>
        </w:rPr>
        <w:t>[Slide 17] Lecciones accionables: los cuatro elementos verificables (2/3)</w:t>
      </w:r>
      <w:r>
        <w:rPr>
          <w:b w:val="0"/>
          <w:color w:val="4A4A49"/>
          <w:sz w:val="22"/>
        </w:rPr>
        <w:t xml:space="preserve"> — 5 vinetas.</w:t>
      </w:r>
    </w:p>
    <w:p>
      <w:r>
        <w:rPr>
          <w:b/>
          <w:color w:val="4A4A49"/>
          <w:sz w:val="22"/>
        </w:rPr>
        <w:t>[Slide 18] Lecciones accionables: los cuatro elementos verificables (3/3)</w:t>
      </w:r>
      <w:r>
        <w:rPr>
          <w:b w:val="0"/>
          <w:color w:val="4A4A49"/>
          <w:sz w:val="22"/>
        </w:rPr>
        <w:t xml:space="preserve"> — 3 vinetas.</w:t>
      </w:r>
    </w:p>
    <w:p>
      <w:r>
        <w:rPr>
          <w:b/>
          <w:color w:val="4A4A49"/>
          <w:sz w:val="22"/>
        </w:rPr>
        <w:t>[Slide 19] Leer un plan de ejecucion ajeno</w:t>
      </w:r>
      <w:r>
        <w:rPr>
          <w:b w:val="0"/>
          <w:color w:val="4A4A49"/>
          <w:sz w:val="22"/>
        </w:rPr>
        <w:t xml:space="preserve"> — 13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 (1/2)</w:t>
      </w:r>
    </w:p>
    <w:p>
      <w:pPr>
        <w:pStyle w:val="ListNumber"/>
      </w:pPr>
      <w:r>
        <w:rPr>
          <w:b w:val="0"/>
          <w:color w:val="4A4A49"/>
          <w:sz w:val="22"/>
        </w:rPr>
        <w:t>Clase autonoma: este texto es fundamento y guia a la vez (2/2)</w:t>
      </w:r>
    </w:p>
    <w:p>
      <w:pPr>
        <w:pStyle w:val="ListNumber"/>
      </w:pPr>
      <w:r>
        <w:rPr>
          <w:b w:val="0"/>
          <w:color w:val="4A4A49"/>
          <w:sz w:val="22"/>
        </w:rPr>
        <w:t>Causa proxima y causa raiz: la distincion que separa el analisis de la anecdota (1/2)</w:t>
      </w:r>
    </w:p>
    <w:p>
      <w:pPr>
        <w:pStyle w:val="ListNumber"/>
      </w:pPr>
      <w:r>
        <w:rPr>
          <w:b w:val="0"/>
          <w:color w:val="4A4A49"/>
          <w:sz w:val="22"/>
        </w:rPr>
        <w:t>Causa proxima y causa raiz: la distincion que separa el analisis de la anecdota (2/2)</w:t>
      </w:r>
    </w:p>
    <w:p>
      <w:pPr>
        <w:pStyle w:val="ListNumber"/>
      </w:pPr>
      <w:r>
        <w:rPr>
          <w:b w:val="0"/>
          <w:color w:val="4A4A49"/>
          <w:sz w:val="22"/>
        </w:rPr>
        <w:t>Caso uno: el respaldo que nunca se restauro (GitLab, 2017) (1/2)</w:t>
      </w:r>
    </w:p>
    <w:p>
      <w:pPr>
        <w:pStyle w:val="ListNumber"/>
      </w:pPr>
      <w:r>
        <w:rPr>
          <w:b w:val="0"/>
          <w:color w:val="4A4A49"/>
          <w:sz w:val="22"/>
        </w:rPr>
        <w:t>Caso uno: el respaldo que nunca se restauro (GitLab, 2017) (2/2)</w:t>
      </w:r>
    </w:p>
    <w:p>
      <w:pPr>
        <w:pStyle w:val="ListNumber"/>
      </w:pPr>
      <w:r>
        <w:rPr>
          <w:b w:val="0"/>
          <w:color w:val="4A4A49"/>
          <w:sz w:val="22"/>
        </w:rPr>
        <w:t>Caso dos: permisos excesivos (Capital One, 2019) (1/2)</w:t>
      </w:r>
    </w:p>
    <w:p>
      <w:pPr>
        <w:pStyle w:val="ListNumber"/>
      </w:pPr>
      <w:r>
        <w:rPr>
          <w:b w:val="0"/>
          <w:color w:val="4A4A49"/>
          <w:sz w:val="22"/>
        </w:rPr>
        <w:t>Caso dos: permisos excesivos (Capital One, 2019) (2/2)</w:t>
      </w:r>
    </w:p>
    <w:p>
      <w:pPr>
        <w:pStyle w:val="ListNumber"/>
      </w:pPr>
      <w:r>
        <w:rPr>
          <w:b w:val="0"/>
          <w:color w:val="4A4A49"/>
          <w:sz w:val="22"/>
        </w:rPr>
        <w:t>Caso tres: perdida de datos en una migracion (MySpace, 2019) (1/2)</w:t>
      </w:r>
    </w:p>
    <w:p>
      <w:pPr>
        <w:pStyle w:val="ListNumber"/>
      </w:pPr>
      <w:r>
        <w:rPr>
          <w:b w:val="0"/>
          <w:color w:val="4A4A49"/>
          <w:sz w:val="22"/>
        </w:rPr>
        <w:t>Caso tres: perdida de datos en una migracion (MySpace, 2019) (2/2)</w:t>
      </w:r>
    </w:p>
    <w:p>
      <w:pPr>
        <w:pStyle w:val="ListNumber"/>
      </w:pPr>
      <w:r>
        <w:rPr>
          <w:b w:val="0"/>
          <w:color w:val="4A4A49"/>
          <w:sz w:val="22"/>
        </w:rPr>
        <w:t>Caso cuatro: concurrencia, el que no llega a los titulares (1/2)</w:t>
      </w:r>
    </w:p>
    <w:p>
      <w:pPr>
        <w:pStyle w:val="ListNumber"/>
      </w:pPr>
      <w:r>
        <w:rPr>
          <w:b w:val="0"/>
          <w:color w:val="4A4A49"/>
          <w:sz w:val="22"/>
        </w:rPr>
        <w:t>Caso cuatro: concurrencia, el que no llega a los titulares (2/2)</w:t>
      </w:r>
    </w:p>
    <w:p>
      <w:pPr>
        <w:pStyle w:val="ListNumber"/>
      </w:pPr>
      <w:r>
        <w:rPr>
          <w:b w:val="0"/>
          <w:color w:val="4A4A49"/>
          <w:sz w:val="22"/>
        </w:rPr>
        <w:t>Lecciones accionables: los cuatro elementos verificables (1/3)</w:t>
      </w:r>
    </w:p>
    <w:p>
      <w:pPr>
        <w:pStyle w:val="ListNumber"/>
      </w:pPr>
      <w:r>
        <w:rPr>
          <w:b w:val="0"/>
          <w:color w:val="4A4A49"/>
          <w:sz w:val="22"/>
        </w:rPr>
        <w:t>Lecciones accionables: los cuatro elementos verificables (2/3)</w:t>
      </w:r>
    </w:p>
    <w:p>
      <w:pPr>
        <w:pStyle w:val="ListNumber"/>
      </w:pPr>
      <w:r>
        <w:rPr>
          <w:b w:val="0"/>
          <w:color w:val="4A4A49"/>
          <w:sz w:val="22"/>
        </w:rPr>
        <w:t>Lecciones accionables: los cuatro elementos verificables (3/3)</w:t>
      </w:r>
    </w:p>
    <w:p>
      <w:pPr>
        <w:pStyle w:val="ListNumber"/>
      </w:pPr>
      <w:r>
        <w:rPr>
          <w:b w:val="0"/>
          <w:color w:val="4A4A49"/>
          <w:sz w:val="22"/>
        </w:rPr>
        <w:t>Leer un plan de ejecucion ajeno</w:t>
      </w:r>
    </w:p>
    <w:p>
      <w:pPr>
        <w:pStyle w:val="ListNumber"/>
      </w:pPr>
      <w:r>
        <w:rPr>
          <w:b w:val="0"/>
          <w:color w:val="4A4A49"/>
          <w:sz w:val="22"/>
        </w:rPr>
        <w:t>Demo del dia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Encuadre + Mapa del bloque.</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