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3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VetCare.</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2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del taller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VetCare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r>
        <w:rPr>
          <w:b/>
          <w:color w:val="4A4A49"/>
          <w:sz w:val="22"/>
        </w:rPr>
        <w:t>[Slide 14] Separacion de funciones: el ejemplo de la factura (2/2)</w:t>
      </w:r>
      <w:r>
        <w:rPr>
          <w:b w:val="0"/>
          <w:color w:val="4A4A49"/>
          <w:sz w:val="22"/>
        </w:rPr>
        <w:t xml:space="preserve"> — 2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del taller.</w:t>
      </w:r>
    </w:p>
    <w:p>
      <w:pPr>
        <w:pStyle w:val="ListBullet2"/>
      </w:pPr>
      <w:r>
        <w:rPr>
          <w:b w:val="0"/>
          <w:color w:val="4A4A49"/>
          <w:sz w:val="22"/>
        </w:rPr>
        <w:t>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2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r>
        <w:rPr>
          <w:b/>
          <w:color w:val="4A4A49"/>
          <w:sz w:val="22"/>
        </w:rPr>
        <w:t>[Slide 20] Cuando el GRANT es demasiado: vista y privilegio por columna (2/2)</w:t>
      </w:r>
      <w:r>
        <w:rPr>
          <w:b w:val="0"/>
          <w:color w:val="4A4A49"/>
          <w:sz w:val="22"/>
        </w:rPr>
        <w:t xml:space="preserve"> — 3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La diapositiva trae las cinco secciones en el mismo orden en que el taller las va a pedir, asi que se dicta recorriendola de arriba abajo.</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5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El taller se resuelve y se califica en ExamLab, que ejecuta PostgreSQL dentro del navegador.</w:t>
      </w:r>
    </w:p>
    <w:p>
      <w:pPr>
        <w:pStyle w:val="ListBullet2"/>
      </w:pPr>
      <w:r>
        <w:rPr>
          <w:b w:val="0"/>
          <w:color w:val="4A4A49"/>
          <w:sz w:val="22"/>
        </w:rPr>
        <w:t>Ahi CREATE ROLE, GRANT, REVOKE, CREATE VIEW, los privilegios por columna y las consultas a information_schema funcionan todos: son DDL real y son verificables, asi que la evidencia del taller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r>
        <w:rPr>
          <w:b/>
          <w:color w:val="4A4A49"/>
          <w:sz w:val="22"/>
        </w:rPr>
        <w:t>[Slide 28] El motor de hoy es PostgreSQL, y eso decide que se puede demostrar (2/2)</w:t>
      </w:r>
      <w:r>
        <w:rPr>
          <w:b w:val="0"/>
          <w:color w:val="4A4A49"/>
          <w:sz w:val="22"/>
        </w:rPr>
        <w:t xml:space="preserve"> — 4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la decision, no el script (1/2)</w:t>
      </w:r>
      <w:r>
        <w:rPr>
          <w:b w:val="0"/>
          <w:color w:val="4A4A49"/>
          <w:sz w:val="22"/>
        </w:rPr>
        <w:t xml:space="preserve"> — 6 vinetas.</w:t>
      </w:r>
    </w:p>
    <w:p>
      <w:r>
        <w:rPr>
          <w:b/>
          <w:color w:val="4A4A49"/>
          <w:sz w:val="22"/>
        </w:rPr>
        <w:t>[Slide 31] La matriz es la decision,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6 vinetas.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la decision, no el script (1/2)</w:t>
      </w:r>
    </w:p>
    <w:p>
      <w:pPr>
        <w:pStyle w:val="ListNumber"/>
      </w:pPr>
      <w:r>
        <w:rPr>
          <w:b w:val="0"/>
          <w:color w:val="4A4A49"/>
          <w:sz w:val="22"/>
        </w:rPr>
        <w:t>La matriz es la decision, no el script (2/2)</w:t>
      </w:r>
    </w:p>
    <w:p>
      <w:pPr>
        <w:pStyle w:val="ListNumber"/>
      </w:pPr>
      <w:r>
        <w:rPr>
          <w:b w:val="0"/>
          <w:color w:val="4A4A49"/>
          <w:sz w:val="22"/>
        </w:rPr>
        <w:t>Como amarra con las clases vecinas y con la rubrica del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