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clase, porque es la decision que la solucion docente califica.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VetCare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del taller NO lleva COMMIT: si lo llevara, llamarlo desde dentro de un bloque con EXCEPTION fallaria, porque PostgreSQL no permite confirmar la transaccion mientras hay un savepoint activo.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31]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32] El motor de hoy es PostgreSQL, y eso decide que se puede demostrar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del taller es la salida del motor y no una promesa.</w:t>
      </w:r>
    </w:p>
    <w:p>
      <w:r>
        <w:rPr>
          <w:b/>
          <w:color w:val="4A4A49"/>
          <w:sz w:val="22"/>
        </w:rPr>
        <w:t>[Slide 33]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34]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35] El segundo procedimiento: sp_registrar_consulta y el EXISTS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36] El segundo procedimiento:...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Como amarra con las clases vecinas y con la rubrica del PI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38] Como amarra con las clases vecinas y con la rubrica del PI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42]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43] RAISE EXCEPTION: la validacion que aborta y deshace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44]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45]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 (1/2)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Procedimientos almacenados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3 - Procedimientos almacenados/Taller PI - Clase 3 -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&gt;=1 procedimiento de negocio (agendar cita / registrar consulta)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Procedimientos almacenados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53]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