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45 minutos y una fase saltada</w:t>
      </w:r>
      <w:r>
        <w:rPr>
          <w:b w:val="0"/>
          <w:color w:val="4A4A49"/>
          <w:sz w:val="22"/>
        </w:rPr>
        <w:t xml:space="preserve"> → diapositiva 4</w:t>
      </w:r>
    </w:p>
    <w:p>
      <w:pPr>
        <w:pStyle w:val="ListBullet"/>
      </w:pPr>
      <w:r>
        <w:rPr>
          <w:b/>
          <w:color w:val="4A4A49"/>
          <w:sz w:val="22"/>
        </w:rPr>
        <w:t>Los cuatro casos: qué contar y cómo exigir la fuente</w:t>
      </w:r>
      <w:r>
        <w:rPr>
          <w:b w:val="0"/>
          <w:color w:val="4A4A49"/>
          <w:sz w:val="22"/>
        </w:rPr>
        <w:t xml:space="preserve"> → diapositiva 5</w:t>
      </w:r>
    </w:p>
    <w:p>
      <w:pPr>
        <w:pStyle w:val="ListBullet"/>
      </w:pPr>
      <w:r>
        <w:rPr>
          <w:b/>
          <w:color w:val="4A4A49"/>
          <w:sz w:val="22"/>
        </w:rPr>
        <w:t>La matriz de decisión: cómo se decide sin que la decisión ya estuviera tomada</w:t>
      </w:r>
      <w:r>
        <w:rPr>
          <w:b w:val="0"/>
          <w:color w:val="4A4A49"/>
          <w:sz w:val="22"/>
        </w:rPr>
        <w:t xml:space="preserve"> → diapositiva 6</w:t>
      </w:r>
    </w:p>
    <w:p>
      <w:pPr>
        <w:pStyle w:val="ListBullet"/>
      </w:pPr>
      <w:r>
        <w:rPr>
          <w:b/>
          <w:color w:val="4A4A49"/>
          <w:sz w:val="22"/>
        </w:rPr>
        <w:t>Alcance mínimo y plan de validación: el entregable del taller</w:t>
      </w:r>
      <w:r>
        <w:rPr>
          <w:b w:val="0"/>
          <w:color w:val="4A4A49"/>
          <w:sz w:val="22"/>
        </w:rPr>
        <w:t xml:space="preserve"> → diapositivas 8 y 10</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8][Slide 10]</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8].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10].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[fuera del deck · guía del taller en la carpeta]</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[fuera del deck · guía del taller en la carpeta]</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[fuera del deck · guía del taller en la carpeta][Slide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ind w:left="432"/>
        <w:shd w:val="clear" w:fill="F7F7F8"/>
      </w:pPr>
      <w:r>
        <w:rPr>
          <w:b/>
          <w:i/>
          <w:color w:val="4A4A49"/>
          <w:sz w:val="21"/>
        </w:rPr>
        <w:t>Ejemplos resueltos</w:t>
      </w:r>
      <w:r>
        <w:rPr>
          <w:b w:val="0"/>
          <w:i/>
          <w:color w:val="4A4A49"/>
          <w:sz w:val="21"/>
        </w:rPr>
        <w:t xml:space="preserve"> (láminas 7, 9, 11):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Ejemplo: matriz de decisión resuelta</w:t>
      </w:r>
    </w:p>
    <w:p>
      <w:pPr>
        <w:pStyle w:val="ListNumber"/>
      </w:pPr>
      <w:r>
        <w:rPr>
          <w:b w:val="0"/>
          <w:color w:val="4A4A49"/>
          <w:sz w:val="22"/>
        </w:rPr>
        <w:t>Alcance mínimo: qué entra y qué no</w:t>
      </w:r>
    </w:p>
    <w:p>
      <w:pPr>
        <w:pStyle w:val="ListNumber"/>
      </w:pPr>
      <w:r>
        <w:rPr>
          <w:b w:val="0"/>
          <w:color w:val="4A4A49"/>
          <w:sz w:val="22"/>
        </w:rPr>
        <w:t>Ejemplo: alcance soñado y alcance mínimo</w:t>
      </w:r>
    </w:p>
    <w:p>
      <w:pPr>
        <w:pStyle w:val="ListNumber"/>
      </w:pPr>
      <w:r>
        <w:rPr>
          <w:b w:val="0"/>
          <w:color w:val="4A4A49"/>
          <w:sz w:val="22"/>
        </w:rPr>
        <w:t>El plan de validación, y dos trampas</w:t>
      </w:r>
    </w:p>
    <w:p>
      <w:pPr>
        <w:pStyle w:val="ListNumber"/>
      </w:pPr>
      <w:r>
        <w:rPr>
          <w:b w:val="0"/>
          <w:color w:val="4A4A49"/>
          <w:sz w:val="22"/>
        </w:rPr>
        <w:t>Ejemplo: un plan de validación de tres líneas</w:t>
      </w:r>
    </w:p>
    <w:p>
      <w:pPr>
        <w:pStyle w:val="ListNumber"/>
      </w:pPr>
      <w:r>
        <w:rPr>
          <w:b w:val="0"/>
          <w:color w:val="4A4A49"/>
          <w:sz w:val="22"/>
        </w:rPr>
        <w:t>Cierre · Nos vemos en la sesión 9</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Preguntas que suelen hacer</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Antes de empezar</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