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4 — Comité de ética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Su equipo es un comité de ética profesional y le toca </w:t>
      </w:r>
      <w:r>
        <w:rPr>
          <w:b/>
          <w:color w:val="4A4A49"/>
          <w:sz w:val="22"/>
        </w:rPr>
        <w:t>un caso</w:t>
      </w:r>
      <w:r>
        <w:rPr>
          <w:b w:val="0"/>
          <w:color w:val="4A4A49"/>
          <w:sz w:val="22"/>
        </w:rPr>
        <w:t>. Emitan un veredicto con el código en la mano: qué principio o norma se violó (</w:t>
      </w:r>
      <w:r>
        <w:rPr>
          <w:b/>
          <w:color w:val="4A4A49"/>
          <w:sz w:val="22"/>
        </w:rPr>
        <w:t>con el numeral</w:t>
      </w:r>
      <w:r>
        <w:rPr>
          <w:b w:val="0"/>
          <w:color w:val="4A4A49"/>
          <w:sz w:val="22"/>
        </w:rPr>
        <w:t>), quién decidió, en qué momento se pudo parar y qué debía hacer el ingeniero ahí. No se acepta «actuaron mal»: eso no es un veredicto.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17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un acta de comité de cinco bloques en el documento del equipo, con al menos un numeral de código o de norma citado literalmente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El caso se asigna por número de equipo:</w:t>
      </w:r>
      <w:r>
        <w:rPr>
          <w:b w:val="0"/>
          <w:i/>
          <w:color w:val="4A4A49"/>
          <w:sz w:val="21"/>
        </w:rPr>
        <w:t xml:space="preserve"> 1 Therac-25 · 2 Volkswagen · 3 Boeing 737 MAX · 4 Cambridge Analytica · 5 el caso local que está al final de este taller. Los cuatro primeros son públicos y hay fuentes; el quinto es el que podría pasarles el año entrante.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LOS HECHOS, SIN ADJETIVOS</w:t>
      </w:r>
    </w:p>
    <w:p>
      <w:r>
        <w:rPr>
          <w:b w:val="0"/>
          <w:color w:val="4A4A49"/>
          <w:sz w:val="22"/>
        </w:rPr>
        <w:t>Qué pasó, en cinco líneas máximo: qué sistema era, qué hizo, a quién afectó y cómo se supo. Sin opinión todavía.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no hay adjetivos de juicio («terrible», «negligente») y sí hay hechos verificables.</w:t>
      </w:r>
    </w:p>
    <w:p>
      <w:pPr>
        <w:spacing w:before="200" w:after="60"/>
      </w:pPr>
      <w:r>
        <w:rPr>
          <w:b/>
          <w:color w:val="1A1C1D"/>
          <w:sz w:val="32"/>
        </w:rPr>
        <w:t>2. QUIÉN DECIDIÓ QUÉ</w:t>
      </w:r>
    </w:p>
    <w:p>
      <w:r>
        <w:rPr>
          <w:b w:val="0"/>
          <w:color w:val="4A4A49"/>
          <w:sz w:val="22"/>
        </w:rPr>
        <w:t xml:space="preserve">La decisión concreta que causó el daño y </w:t>
      </w:r>
      <w:r>
        <w:rPr>
          <w:b/>
          <w:color w:val="4A4A49"/>
          <w:sz w:val="22"/>
        </w:rPr>
        <w:t>quién la tomó</w:t>
      </w:r>
      <w:r>
        <w:rPr>
          <w:b w:val="0"/>
          <w:color w:val="4A4A49"/>
          <w:sz w:val="22"/>
        </w:rPr>
        <w:t xml:space="preserve"> (el rol: el diseñador, el gerente de producto, el ingeniero que ejecutó). Si fueron varias personas en cadena, escriban la cadena.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un sujeto y una decisión, no «la empresa». «La empresa» no decide nada: deciden personas con un cargo.</w:t>
      </w:r>
    </w:p>
    <w:p>
      <w:pPr>
        <w:spacing w:before="200" w:after="60"/>
      </w:pPr>
      <w:r>
        <w:rPr>
          <w:b/>
          <w:color w:val="1A1C1D"/>
          <w:sz w:val="32"/>
        </w:rPr>
        <w:t>3. EL NUMERAL QUE SE VIOLÓ</w:t>
      </w:r>
    </w:p>
    <w:p>
      <w:r>
        <w:rPr>
          <w:b w:val="0"/>
          <w:color w:val="4A4A49"/>
          <w:sz w:val="22"/>
        </w:rPr>
        <w:t xml:space="preserve">Cite </w:t>
      </w:r>
      <w:r>
        <w:rPr>
          <w:b/>
          <w:color w:val="4A4A49"/>
          <w:sz w:val="22"/>
        </w:rPr>
        <w:t>literalmente</w:t>
      </w:r>
      <w:r>
        <w:rPr>
          <w:b w:val="0"/>
          <w:color w:val="4A4A49"/>
          <w:sz w:val="22"/>
        </w:rPr>
        <w:t xml:space="preserve"> al menos un principio del código ACM/IEEE o un artículo de la Ley 842 de 2003, la Ley 1581 de 2012 o la Ley 1273 de 2009, y explique en dos líneas por qué aplica a este caso.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el texto está citado, no parafraseado, y la explicación conecta el numeral con el hecho. Es el bloque que más pesa.</w:t>
      </w:r>
    </w:p>
    <w:p>
      <w:pPr>
        <w:spacing w:before="200" w:after="60"/>
      </w:pPr>
      <w:r>
        <w:rPr>
          <w:b/>
          <w:color w:val="1A1C1D"/>
          <w:sz w:val="32"/>
        </w:rPr>
        <w:t>4. EL MOMENTO EN QUE SE PUDO PARAR</w:t>
      </w:r>
    </w:p>
    <w:p>
      <w:r>
        <w:rPr>
          <w:b w:val="0"/>
          <w:color w:val="4A4A49"/>
          <w:sz w:val="22"/>
        </w:rPr>
        <w:t xml:space="preserve">El momento </w:t>
      </w:r>
      <w:r>
        <w:rPr>
          <w:b/>
          <w:color w:val="4A4A49"/>
          <w:sz w:val="22"/>
        </w:rPr>
        <w:t>más temprano</w:t>
      </w:r>
      <w:r>
        <w:rPr>
          <w:b w:val="0"/>
          <w:color w:val="4A4A49"/>
          <w:sz w:val="22"/>
        </w:rPr>
        <w:t xml:space="preserve"> en que alguien con la información disponible podía cambiar el resultado, y qué debía hacer exactamente ahí (a quién decirle qué, y por escrito o no).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el momento es anterior al daño y la acción es concreta. «Debieron ser más éticos» no es una acción.</w:t>
      </w:r>
    </w:p>
    <w:p>
      <w:pPr>
        <w:spacing w:before="200" w:after="60"/>
      </w:pPr>
      <w:r>
        <w:rPr>
          <w:b/>
          <w:color w:val="1A1C1D"/>
          <w:sz w:val="32"/>
        </w:rPr>
        <w:t>5. LA REGLA QUE SE LLEVAN</w:t>
      </w:r>
    </w:p>
    <w:p>
      <w:r>
        <w:rPr>
          <w:b w:val="0"/>
          <w:color w:val="4A4A49"/>
          <w:sz w:val="22"/>
        </w:rPr>
        <w:t>Una regla en una frase, escrita para ustedes mismos, que evite repetir esto en el proyecto de este curso. Tiene que ser verificable.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la regla se puede comprobar. «Ser responsables» no se comprueba; «no subimos ningún dato de una persona sin su autorización escrita» sí.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LOS HECHOS, SIN ADJETIVOS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QUIÉN DECIDIÓ QUÉ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EL NUMERAL QUE SE VIOLÓ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EL MOMENTO EN QUE SE PUDO PARAR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REGLA QUE SE LLEVAN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10 %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Los hechos están sin adjetivos de juicio y son verificables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Hay un sujeto y una decisión concreta, no «la empresa»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Se cita literalmente un numeral del código o un artículo de ley, y se conecta con el hecho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El momento de parar es anterior al daño y la acción propuesta es concreta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regla propia es verificable y aplica al proyecto del curso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10 %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30 s · Los hechos</w:t>
      </w:r>
      <w:r>
        <w:rPr>
          <w:b w:val="0"/>
          <w:color w:val="4A4A49"/>
          <w:sz w:val="22"/>
        </w:rPr>
        <w:t xml:space="preserve"> — Qué pasó, sin adjetivos. Cinco líneas dichas en medio minuto.</w:t>
      </w:r>
    </w:p>
    <w:p>
      <w:pPr>
        <w:pStyle w:val="ListNumber"/>
      </w:pPr>
      <w:r>
        <w:rPr>
          <w:b/>
          <w:color w:val="4A4A49"/>
          <w:sz w:val="22"/>
        </w:rPr>
        <w:t>40 s · Quién decidió</w:t>
      </w:r>
      <w:r>
        <w:rPr>
          <w:b w:val="0"/>
          <w:color w:val="4A4A49"/>
          <w:sz w:val="22"/>
        </w:rPr>
        <w:t xml:space="preserve"> — La decisión y el rol de quien la tomó. No «la empresa».</w:t>
      </w:r>
    </w:p>
    <w:p>
      <w:pPr>
        <w:pStyle w:val="ListNumber"/>
      </w:pPr>
      <w:r>
        <w:rPr>
          <w:b/>
          <w:color w:val="4A4A49"/>
          <w:sz w:val="22"/>
        </w:rPr>
        <w:t>50 s · El numeral</w:t>
      </w:r>
      <w:r>
        <w:rPr>
          <w:b w:val="0"/>
          <w:color w:val="4A4A49"/>
          <w:sz w:val="22"/>
        </w:rPr>
        <w:t xml:space="preserve"> — Lea el principio o el artículo y diga por qué aplica. Es lo que más pesa.</w:t>
      </w:r>
    </w:p>
    <w:p>
      <w:pPr>
        <w:pStyle w:val="ListNumber"/>
      </w:pPr>
      <w:r>
        <w:rPr>
          <w:b/>
          <w:color w:val="4A4A49"/>
          <w:sz w:val="22"/>
        </w:rPr>
        <w:t>50 s · El momento de parar</w:t>
      </w:r>
      <w:r>
        <w:rPr>
          <w:b w:val="0"/>
          <w:color w:val="4A4A49"/>
          <w:sz w:val="22"/>
        </w:rPr>
        <w:t xml:space="preserve"> — Cuándo y qué había que hacer. Es el minuto obligatorio.</w:t>
      </w:r>
    </w:p>
    <w:p>
      <w:pPr>
        <w:pStyle w:val="ListNumber"/>
      </w:pPr>
      <w:r>
        <w:rPr>
          <w:b/>
          <w:color w:val="4A4A49"/>
          <w:sz w:val="22"/>
        </w:rPr>
        <w:t>10 s · La regla propia</w:t>
      </w:r>
      <w:r>
        <w:rPr>
          <w:b w:val="0"/>
          <w:color w:val="4A4A49"/>
          <w:sz w:val="22"/>
        </w:rPr>
        <w:t xml:space="preserve"> — Una frase, verificable, para su propio proyecto.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