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Actividad autónoma Clase 10 — Costos CloudLite</w:t>
      </w:r>
    </w:p>
    <w:p>
      <w:pPr>
        <w:spacing w:after="120" w:before="0"/>
        <w:jc w:val="center"/>
      </w:pPr>
      <w:r>
        <w:rPr>
          <w:rFonts w:ascii="Calibri" w:hAnsi="Calibri" w:eastAsia="Calibri"/>
          <w:b/>
          <w:color w:val="095292"/>
          <w:sz w:val="22"/>
        </w:rPr>
        <w:t>Arquitectura de Sistemas Computacionales · CloudLite App (PI)</w:t>
      </w:r>
    </w:p>
    <w:p>
      <w:pPr>
        <w:spacing w:after="120" w:before="0"/>
        <w:jc w:val="center"/>
        <w:shd w:val="clear" w:fill="E8F4FA"/>
      </w:pPr>
      <w:r>
        <w:rPr>
          <w:rFonts w:ascii="Calibri" w:hAnsi="Calibri" w:eastAsia="Calibri"/>
          <w:b w:val="0"/>
          <w:color w:val="269CCB"/>
          <w:sz w:val="20"/>
        </w:rPr>
        <w:t>Documento estudiante — avance del Proyecto Integrador</w:t>
      </w:r>
    </w:p>
    <w:p>
      <w:pPr>
        <w:spacing w:after="120" w:before="240"/>
        <w:jc w:val="left"/>
      </w:pPr>
      <w:r>
        <w:rPr>
          <w:rFonts w:ascii="Calibri" w:hAnsi="Calibri" w:eastAsia="Calibri"/>
          <w:b/>
          <w:color w:val="095292"/>
          <w:sz w:val="24"/>
        </w:rPr>
        <w:t>1. Contexto / por qué importa al PI</w:t>
      </w:r>
    </w:p>
    <w:p>
      <w:pPr>
        <w:pStyle w:val="ListBullet"/>
        <w:spacing w:after="40"/>
      </w:pPr>
      <w:r>
        <w:rPr>
          <w:rFonts w:ascii="Calibri" w:hAnsi="Calibri" w:eastAsia="Calibri"/>
          <w:b/>
          <w:color w:val="2B2B2B"/>
          <w:sz w:val="22"/>
        </w:rPr>
        <w:t>Por qué importa al PI:</w:t>
      </w:r>
      <w:r>
        <w:rPr>
          <w:rFonts w:ascii="Calibri" w:hAnsi="Calibri" w:eastAsia="Calibri"/>
          <w:b w:val="0"/>
          <w:color w:val="2B2B2B"/>
          <w:sz w:val="22"/>
        </w:rPr>
        <w:t xml:space="preserve"> lo más caro suele ser lo que dejan encendido sin usar.</w:t>
      </w:r>
    </w:p>
    <w:p>
      <w:pPr>
        <w:pStyle w:val="ListBullet"/>
        <w:spacing w:after="40"/>
      </w:pPr>
      <w:r>
        <w:rPr>
          <w:rFonts w:ascii="Calibri" w:hAnsi="Calibri" w:eastAsia="Calibri"/>
          <w:b w:val="0"/>
          <w:color w:val="2B2B2B"/>
          <w:sz w:val="22"/>
        </w:rPr>
        <w:t>Costo cualitativo B/M/A es aceptable: no inventar precios USD de cloud de pago.</w:t>
      </w:r>
    </w:p>
    <w:p>
      <w:pPr>
        <w:spacing w:after="120" w:before="240"/>
        <w:jc w:val="left"/>
      </w:pPr>
      <w:r>
        <w:rPr>
          <w:rFonts w:ascii="Calibri" w:hAnsi="Calibri" w:eastAsia="Calibri"/>
          <w:b/>
          <w:color w:val="095292"/>
          <w:sz w:val="24"/>
        </w:rPr>
        <w:t>2. Hoy avanzamos el PI en…</w:t>
      </w:r>
    </w:p>
    <w:p>
      <w:pPr>
        <w:spacing w:after="120" w:before="0"/>
        <w:jc w:val="left"/>
      </w:pPr>
      <w:r>
        <w:rPr>
          <w:rFonts w:ascii="Calibri" w:hAnsi="Calibri" w:eastAsia="Calibri"/>
          <w:b w:val="0"/>
          <w:color w:val="2B2B2B"/>
          <w:sz w:val="22"/>
        </w:rPr>
        <w:t>Estimación cualitativa de costos + notas de sostenibilidad</w:t>
      </w:r>
    </w:p>
    <w:p>
      <w:pPr>
        <w:spacing w:after="120" w:before="240"/>
        <w:jc w:val="left"/>
      </w:pPr>
      <w:r>
        <w:rPr>
          <w:rFonts w:ascii="Calibri" w:hAnsi="Calibri" w:eastAsia="Calibri"/>
          <w:b/>
          <w:color w:val="095292"/>
          <w:sz w:val="24"/>
        </w:rPr>
        <w:t>3. Entregable concreto</w:t>
      </w:r>
    </w:p>
    <w:p>
      <w:pPr>
        <w:spacing w:after="120" w:before="0"/>
        <w:jc w:val="left"/>
        <w:shd w:val="clear" w:fill="E8F4FA"/>
      </w:pPr>
      <w:r>
        <w:rPr>
          <w:rFonts w:ascii="Calibri" w:hAnsi="Calibri" w:eastAsia="Calibri"/>
          <w:b w:val="0"/>
          <w:color w:val="2B2B2B"/>
          <w:sz w:val="22"/>
        </w:rPr>
        <w:t>Sección Costos/Sostenibilidad del informe (bajo/medio + drivers)</w:t>
      </w:r>
    </w:p>
    <w:p>
      <w:pPr>
        <w:spacing w:after="120" w:before="240"/>
        <w:jc w:val="left"/>
      </w:pPr>
      <w:r>
        <w:rPr>
          <w:rFonts w:ascii="Calibri" w:hAnsi="Calibri" w:eastAsia="Calibri"/>
          <w:b/>
          <w:color w:val="095292"/>
          <w:sz w:val="24"/>
        </w:rPr>
        <w:t>4. Escenario / datos de partida</w:t>
      </w:r>
    </w:p>
    <w:p>
      <w:pPr>
        <w:pStyle w:val="ListBullet"/>
        <w:spacing w:after="40"/>
      </w:pPr>
      <w:r>
        <w:rPr>
          <w:rFonts w:ascii="Calibri" w:hAnsi="Calibri" w:eastAsia="Calibri"/>
          <w:b w:val="0"/>
          <w:color w:val="2B2B2B"/>
          <w:sz w:val="22"/>
        </w:rPr>
        <w:t>Componentes: API, DB, object, CI, edge.</w:t>
      </w:r>
    </w:p>
    <w:p>
      <w:pPr>
        <w:pStyle w:val="ListBullet"/>
        <w:spacing w:after="40"/>
      </w:pPr>
      <w:r>
        <w:rPr>
          <w:rFonts w:ascii="Calibri" w:hAnsi="Calibri" w:eastAsia="Calibri"/>
          <w:b w:val="0"/>
          <w:color w:val="2B2B2B"/>
          <w:sz w:val="22"/>
        </w:rPr>
        <w:t>Drivers: idle, egress, storage, minutos CI.</w:t>
      </w:r>
    </w:p>
    <w:p>
      <w:pPr>
        <w:spacing w:after="120" w:before="240"/>
        <w:jc w:val="left"/>
      </w:pPr>
      <w:r>
        <w:rPr>
          <w:rFonts w:ascii="Calibri" w:hAnsi="Calibri" w:eastAsia="Calibri"/>
          <w:b/>
          <w:color w:val="095292"/>
          <w:sz w:val="24"/>
        </w:rPr>
        <w:t>5. Herramientas (gratis + navegador)</w:t>
      </w:r>
    </w:p>
    <w:p>
      <w:pPr>
        <w:spacing w:after="120" w:before="0"/>
        <w:jc w:val="left"/>
      </w:pPr>
      <w:r>
        <w:rPr>
          <w:rFonts w:ascii="Calibri" w:hAnsi="Calibri" w:eastAsia="Calibri"/>
          <w:b w:val="0"/>
          <w:color w:val="2B2B2B"/>
          <w:sz w:val="22"/>
        </w:rPr>
        <w:t>Google Docs</w:t>
      </w:r>
    </w:p>
    <w:p>
      <w:pPr>
        <w:spacing w:after="120" w:before="0"/>
        <w:jc w:val="left"/>
        <w:shd w:val="clear" w:fill="FBE4E4"/>
      </w:pPr>
      <w:r>
        <w:rPr>
          <w:rFonts w:ascii="Calibri" w:hAnsi="Calibri" w:eastAsia="Calibri"/>
          <w:b w:val="0"/>
          <w:color w:val="2B2B2B"/>
          <w:sz w:val="22"/>
        </w:rPr>
        <w:t>Prohibido como requisito: AWS/GCP/Oracle/Azure con tarjeta; VirtualBox/VMware/Docker Desktop obligatorio.</w:t>
      </w:r>
    </w:p>
    <w:p>
      <w:pPr>
        <w:spacing w:after="120" w:before="240"/>
        <w:jc w:val="left"/>
      </w:pPr>
      <w:r>
        <w:rPr>
          <w:rFonts w:ascii="Calibri" w:hAnsi="Calibri" w:eastAsia="Calibri"/>
          <w:b/>
          <w:color w:val="095292"/>
          <w:sz w:val="24"/>
        </w:rPr>
        <w:t>6. Pasos guiados</w:t>
      </w:r>
    </w:p>
    <w:p>
      <w:pPr>
        <w:pStyle w:val="ListBullet"/>
        <w:spacing w:after="40"/>
      </w:pPr>
      <w:r>
        <w:rPr>
          <w:rFonts w:ascii="Calibri" w:hAnsi="Calibri" w:eastAsia="Calibri"/>
          <w:b w:val="0"/>
          <w:color w:val="2B2B2B"/>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Bullet"/>
        <w:spacing w:after="40"/>
      </w:pPr>
      <w:r>
        <w:rPr>
          <w:rFonts w:ascii="Calibri" w:hAnsi="Calibri" w:eastAsia="Calibri"/>
          <w:b w:val="0"/>
          <w:color w:val="2B2B2B"/>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Bullet"/>
        <w:spacing w:after="40"/>
      </w:pPr>
      <w:r>
        <w:rPr>
          <w:rFonts w:ascii="Calibri" w:hAnsi="Calibri" w:eastAsia="Calibri"/>
          <w:b w:val="0"/>
          <w:color w:val="2B2B2B"/>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Bullet"/>
        <w:spacing w:after="40"/>
      </w:pPr>
      <w:r>
        <w:rPr>
          <w:rFonts w:ascii="Calibri" w:hAnsi="Calibri" w:eastAsia="Calibri"/>
          <w:b w:val="0"/>
          <w:color w:val="2B2B2B"/>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Bullet"/>
        <w:spacing w:after="40"/>
      </w:pPr>
      <w:r>
        <w:rPr>
          <w:rFonts w:ascii="Calibri" w:hAnsi="Calibri" w:eastAsia="Calibri"/>
          <w:b w:val="0"/>
          <w:color w:val="2B2B2B"/>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after="120" w:before="240"/>
        <w:jc w:val="left"/>
      </w:pPr>
      <w:r>
        <w:rPr>
          <w:rFonts w:ascii="Calibri" w:hAnsi="Calibri" w:eastAsia="Calibri"/>
          <w:b/>
          <w:color w:val="095292"/>
          <w:sz w:val="24"/>
        </w:rPr>
        <w:t>7. Criterio de éxito</w:t>
      </w:r>
    </w:p>
    <w:p>
      <w:pPr>
        <w:pStyle w:val="ListBullet"/>
        <w:spacing w:after="40"/>
      </w:pPr>
      <w:r>
        <w:rPr>
          <w:rFonts w:ascii="Calibri" w:hAnsi="Calibri" w:eastAsia="Calibri"/>
          <w:b w:val="0"/>
          <w:color w:val="2B2B2B"/>
          <w:sz w:val="22"/>
        </w:rPr>
        <w:t>El artefacto queda en el paquete PI (informe y/o repo) con nombres consistentes.</w:t>
      </w:r>
    </w:p>
    <w:p>
      <w:pPr>
        <w:pStyle w:val="ListBullet"/>
        <w:spacing w:after="40"/>
      </w:pPr>
      <w:r>
        <w:rPr>
          <w:rFonts w:ascii="Calibri" w:hAnsi="Calibri" w:eastAsia="Calibri"/>
          <w:b w:val="0"/>
          <w:color w:val="2B2B2B"/>
          <w:sz w:val="22"/>
        </w:rPr>
        <w:t>Puedes explicar tu decisión en 60 segundos (si trabajas en equipo autorizado, cualquier integrante debe poder hacerlo).</w:t>
      </w:r>
    </w:p>
    <w:p>
      <w:pPr>
        <w:pStyle w:val="ListBullet"/>
        <w:spacing w:after="40"/>
      </w:pPr>
      <w:r>
        <w:rPr>
          <w:rFonts w:ascii="Calibri" w:hAnsi="Calibri" w:eastAsia="Calibri"/>
          <w:b w:val="0"/>
          <w:color w:val="2B2B2B"/>
          <w:sz w:val="22"/>
        </w:rPr>
        <w:t>Evidencia adjunta (PNG, enlace lab, YAML, etc.).</w:t>
      </w:r>
    </w:p>
    <w:p>
      <w:pPr>
        <w:spacing w:after="120" w:before="240"/>
        <w:jc w:val="left"/>
      </w:pPr>
      <w:r>
        <w:rPr>
          <w:rFonts w:ascii="Calibri" w:hAnsi="Calibri" w:eastAsia="Calibri"/>
          <w:b/>
          <w:color w:val="095292"/>
          <w:sz w:val="24"/>
        </w:rPr>
        <w:t>8. Pistas (checklist vacío — sin solución)</w:t>
      </w:r>
    </w:p>
    <w:p>
      <w:pPr>
        <w:pStyle w:val="ListBullet"/>
        <w:spacing w:after="40"/>
      </w:pPr>
      <w:r>
        <w:rPr>
          <w:rFonts w:ascii="Calibri" w:hAnsi="Calibri" w:eastAsia="Calibri"/>
          <w:b w:val="0"/>
          <w:color w:val="2B2B2B"/>
          <w:sz w:val="22"/>
        </w:rPr>
        <w:t>☐ ¿Cada fila tiene driver (no solo "caro")?</w:t>
      </w:r>
    </w:p>
    <w:p>
      <w:pPr>
        <w:pStyle w:val="ListBullet"/>
        <w:spacing w:after="40"/>
      </w:pPr>
      <w:r>
        <w:rPr>
          <w:rFonts w:ascii="Calibri" w:hAnsi="Calibri" w:eastAsia="Calibri"/>
          <w:b w:val="0"/>
          <w:color w:val="2B2B2B"/>
          <w:sz w:val="22"/>
        </w:rPr>
        <w:t>☐ ¿Las 3 acciones son verificables en el PI?</w:t>
      </w:r>
    </w:p>
    <w:p>
      <w:pPr>
        <w:pStyle w:val="ListBullet"/>
        <w:spacing w:after="40"/>
      </w:pPr>
      <w:r>
        <w:rPr>
          <w:rFonts w:ascii="Calibri" w:hAnsi="Calibri" w:eastAsia="Calibri"/>
          <w:b w:val="0"/>
          <w:color w:val="2B2B2B"/>
          <w:sz w:val="22"/>
        </w:rPr>
        <w:t>☐ ¿Evitaron inventar facturas de AWS/GCP?</w:t>
      </w:r>
    </w:p>
    <w:p>
      <w:pPr>
        <w:spacing w:after="120" w:before="240"/>
        <w:jc w:val="left"/>
      </w:pPr>
      <w:r>
        <w:rPr>
          <w:rFonts w:ascii="Calibri" w:hAnsi="Calibri" w:eastAsia="Calibri"/>
          <w:b/>
          <w:color w:val="095292"/>
          <w:sz w:val="24"/>
        </w:rPr>
        <w:t>9. Entrega</w:t>
      </w:r>
    </w:p>
    <w:p>
      <w:pPr>
        <w:spacing w:after="120" w:before="0"/>
        <w:jc w:val="left"/>
      </w:pPr>
      <w:r>
        <w:rPr>
          <w:rFonts w:ascii="Calibri" w:hAnsi="Calibri" w:eastAsia="Calibri"/>
          <w:b w:val="0"/>
          <w:color w:val="2B2B2B"/>
          <w:sz w:val="22"/>
        </w:rPr>
        <w:t>Entrega en ExamLab (https://uniaj.examlab.workers.dev/ · módulo Talleres) · domingo 23:59 (regla del Acuerdo). Modalidad de trabajo: individual por defecto; el docente puede autorizar equipos de 2 o 3 y en ese caso el artefacto puede ser compartido, pero el envío en ExamLab es siempre individual (responde con tus propias palabras).</w:t>
      </w:r>
    </w:p>
    <w:p>
      <w:pPr>
        <w:spacing w:after="120" w:before="0"/>
        <w:jc w:val="left"/>
      </w:pPr>
      <w:r>
        <w:rPr>
          <w:rFonts w:ascii="Calibri" w:hAnsi="Calibri" w:eastAsia="Calibri"/>
          <w:b/>
          <w:color w:val="095292"/>
          <w:sz w:val="24"/>
        </w:rPr>
        <w:t>10. Que vas a resolver en ExamLab</w:t>
      </w:r>
    </w:p>
    <w:p>
      <w:pPr>
        <w:spacing w:after="120" w:before="0"/>
        <w:jc w:val="left"/>
      </w:pPr>
      <w:r>
        <w:rPr>
          <w:rFonts w:ascii="Calibri" w:hAnsi="Calibri" w:eastAsia="Calibri"/>
          <w:b w:val="0"/>
          <w:color w:val="2B2B2B"/>
          <w:sz w:val="22"/>
        </w:rPr>
        <w:t>El estudiante entrega la seccion de costos de CloudLite con 6 elementos del despliegue mapeados a drivers y niveles cualitativos, tres apalancamientos de ahorro con antes y despues, y tres acciones de sostenibilidad verificables.</w:t>
      </w:r>
    </w:p>
    <w:p>
      <w:pPr>
        <w:spacing w:after="120" w:before="0"/>
        <w:jc w:val="left"/>
      </w:pPr>
      <w:r>
        <w:rPr>
          <w:rFonts w:ascii="Calibri" w:hAnsi="Calibri" w:eastAsia="Calibri"/>
          <w:b w:val="0"/>
          <w:color w:val="2B2B2B"/>
          <w:sz w:val="22"/>
        </w:rPr>
        <w:t>El taller se resuelve y se entrega en ExamLab (https://uniaj.examlab.workers.dev/),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(30 pts):</w:t>
      </w:r>
      <w:r>
        <w:rPr>
          <w:rFonts w:ascii="Calibri" w:hAnsi="Calibri" w:eastAsia="Calibri"/>
          <w:b w:val="0"/>
          <w:color w:val="2B2B2B"/>
          <w:sz w:val="22"/>
        </w:rPr>
        <w:t xml:space="preserve"> Tabla de costos de CloudLite.</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(20 pts):</w:t>
      </w:r>
      <w:r>
        <w:rPr>
          <w:rFonts w:ascii="Calibri" w:hAnsi="Calibri" w:eastAsia="Calibri"/>
          <w:b w:val="0"/>
          <w:color w:val="2B2B2B"/>
          <w:sz w:val="22"/>
        </w:rPr>
        <w:t xml:space="preserve"> Mapa de drivers de costo.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Respuesta escrita (20 pts):</w:t>
      </w:r>
      <w:r>
        <w:rPr>
          <w:rFonts w:ascii="Calibri" w:hAnsi="Calibri" w:eastAsia="Calibri"/>
          <w:b w:val="0"/>
          <w:color w:val="2B2B2B"/>
          <w:sz w:val="22"/>
        </w:rPr>
        <w:t xml:space="preserve"> Tres apalancamientos de ahorro.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Tres acciones de sostenibilidad.</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Costos en la nube: que es cierto.</w:t>
      </w:r>
    </w:p>
    <w:p>
      <w:pPr>
        <w:pStyle w:val="ListBullet"/>
        <w:spacing w:after="40"/>
      </w:pPr>
      <w:r>
        <w:rPr>
          <w:rFonts w:ascii="Calibri" w:hAnsi="Calibri" w:eastAsia="Calibri"/>
          <w:b w:val="0"/>
          <w:color w:val="2B2B2B"/>
          <w:sz w:val="22"/>
        </w:rPr>
        <w:t>Varias opciones y mas de una correcta; marque todas las que apliquen.</w:t>
      </w:r>
    </w:p>
    <w:p>
      <w:pPr>
        <w:spacing w:after="120" w:before="0"/>
        <w:jc w:val="left"/>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