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1 · Bases de Datos II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Revision BD I · Arranque VetCare DB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DB (no es un ejercicio desconectado).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draw.io + DB Fiddle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Arranque PI: dominio, alcance y borrador ER de VetCare DB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 VetCare:</w:t>
      </w:r>
      <w:r>
        <w:rPr>
          <w:rFonts w:ascii="Calibri" w:hAnsi="Calibri" w:eastAsia="Calibri"/>
          <w:b w:val="0"/>
          <w:color w:val="2B2B2B"/>
          <w:sz w:val="22"/>
        </w:rPr>
        <w:t xml:space="preserve"> sin ER/alcance no hay base para procs ni seguridad.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Hoy cierras dominio + entidades mínimas + reglas de negocio propias.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DDL demo (Codigo/) es semilla; tu ER manda.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Objetivo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Arrancar VetCare: ficha + ER borrador + entidades/reglas.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Dominio: clínica veterinaria VetCare.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Herramientas: draw.io + DB Fiddle.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Reutilizar nombres del enunciado PI.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Actividades (pasos guiados)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Nombrar y registrar su proyecto VetCare DB (trabajo individual por defecto; equipo de 2-3 solo si el docente lo autoriza).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Listar entidades minimas + 3 reglas de negocio propias.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Dibujar ER borrador en draw.io/Excalidraw y exportar PNG.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Escribir 5-8 lineas de alcance (que SI / que NO hara el PI).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Ficha del proyecto + ER borrador (PNG) + lista de entidades/reglas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Proyecto nombrado y registrado.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ER PNG con entidades mínimas.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3 reglas de negocio propias.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Alcance SI/NO 5-8 lineas.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Entrega domingo 23:59.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Pistas (checklist vacio — sin solucion)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Hay PK/FK visibles en el ER?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Mascota inactiva / stock aparecen como regla?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El alcance evita scope infinito?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Entrega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Sube tu taller en ExamLab</w:t>
      </w:r>
      <w:r>
        <w:rPr>
          <w:rFonts w:ascii="Calibri" w:hAnsi="Calibri" w:eastAsia="Calibri"/>
          <w:b w:val="0"/>
          <w:color w:val="2B2B2B"/>
          <w:sz w:val="22"/>
        </w:rPr>
        <w:t xml:space="preserve"> (https://uniaj.examlab.workers.dev/ · módulo Talleres) — domingo 23:59 cuando aplique.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9.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deja creado el esqueleto de VetCare DB (dueno, mascota, cita) con integridad declarativa, su modelo ER en Mermaid y el alcance escrito del Proyecto Integrador.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SQL sobre PostgreSQL real (30 pts):</w:t>
      </w:r>
      <w:r>
        <w:rPr>
          <w:rFonts w:ascii="Calibri" w:hAnsi="Calibri" w:eastAsia="Calibri"/>
          <w:b w:val="0"/>
          <w:color w:val="2B2B2B"/>
          <w:sz w:val="22"/>
        </w:rPr>
        <w:t xml:space="preserve"> DDL base de VetCare DB.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2 - Diagrama (Mermaid)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Modelo ER de VetCare DB en Mermaid.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instante. No hay que exportar imagenes ni salir a otra herramienta.</w:t>
      </w:r>
    </w:p>
    <w:p>
      <w:r>
        <w:rPr>
          <w:rFonts w:ascii="Calibri" w:hAnsi="Calibri" w:eastAsia="Calibri"/>
          <w:b/>
          <w:color w:val="2B2B2B"/>
          <w:sz w:val="22"/>
        </w:rPr>
        <w:t>Pregunta 3 - SQL sobre PostgreSQL real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Consultas de repaso sobre datos reales de Huellitas.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4 - Seleccion multiple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Que puede garantizar el DDL por si solo.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 y mas de una correcta; marque todas las que apliquen.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Alcance del Proyecto Integrador VetCare DB.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