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pPr>
        <w:spacing w:before="200" w:after="60"/>
      </w:pPr>
      <w:r>
        <w:rPr>
          <w:b/>
          <w:color w:val="1A1C1D"/>
          <w:sz w:val="32"/>
        </w:rPr>
        <w:t>Desarrollo del tema (para dictar sin consultar otra fuente)</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estudiante, con cronometro en mano; el numero que salga, por ejemplo tres minutos, es un RTO honesto a escala de aula y es lo que la rubrica espera ver escrito.</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estudiante escriba dos numeros acordados con el negocio y una prueba de restauracion cronometrada. La consecuencia es un Plan_Backup_VetCare lleno de frases generales que la rubrica penaliza, y un estudiante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Pantallazo: [CAP: demo VetCare Clase 4]</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estudiantes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Pantallazo: [CAP: avance del estudiante / playground Clase 4]</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