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de aplicacion · Clase 15 · Parcial 3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del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Enunciado y solucion: </w:t>
      </w:r>
      <w:r>
        <w:rPr>
          <w:rFonts w:ascii="Consolas" w:hAnsi="Consolas"/>
          <w:i/>
          <w:color w:val="111111"/>
          <w:sz w:val="20"/>
        </w:rPr>
        <w:t>Parciales/Parcial 3 - Integracion excepciones y cierre de proyecto.docx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 · </w:t>
      </w:r>
      <w:r>
        <w:rPr>
          <w:b/>
          <w:color w:val="4A4A49"/>
          <w:sz w:val="22"/>
        </w:rPr>
        <w:t>presencial sincrono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Ingreso, asistencia, normas (sin material no autorizado).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Entregar enunciado. Aclarar tiempo y canal de dudas de forma.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del parcial (silencio de trabajo).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Aviso de 10 min; revision de integridad.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Recoleccion y cierre.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+ parcial» el mismo dia.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solucion es privada: archivo </w:t>
      </w:r>
      <w:r>
        <w:rPr>
          <w:rFonts w:ascii="Consolas" w:hAnsi="Consolas"/>
          <w:color w:val="111111"/>
          <w:sz w:val="21"/>
        </w:rPr>
        <w:t>* - SOLUCION.docx</w:t>
      </w:r>
      <w:r>
        <w:rPr>
          <w:b w:val="0"/>
          <w:color w:val="4A4A49"/>
          <w:sz w:val="22"/>
        </w:rPr>
        <w:t xml:space="preserve">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El PI VetCare continua en la siguiente clase regular.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